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4A" w:rsidRPr="00650C4A" w:rsidRDefault="00650C4A" w:rsidP="00650C4A">
      <w:pPr>
        <w:shd w:val="clear" w:color="auto" w:fill="FFFFFF"/>
        <w:spacing w:after="480" w:line="346" w:lineRule="atLeast"/>
        <w:rPr>
          <w:rFonts w:ascii="Franklin Gothic Book" w:eastAsia="Times New Roman" w:hAnsi="Franklin Gothic Book" w:cs="Tahoma"/>
          <w:color w:val="444444"/>
          <w:lang w:eastAsia="en-IE"/>
        </w:rPr>
      </w:pPr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This web page lists legislation considered to be relevant to the College. </w:t>
      </w:r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6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Higher Education Authority Act 1971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7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Comptroller and Auditor General Amendment Act 1993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Copyright and Related Rights Acts </w:t>
      </w:r>
      <w:hyperlink r:id="rId8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2000</w:t>
        </w:r>
      </w:hyperlink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, </w:t>
      </w:r>
      <w:hyperlink r:id="rId9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2004</w:t>
        </w:r>
      </w:hyperlink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, </w:t>
      </w:r>
      <w:hyperlink r:id="rId10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2007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Data Protection Acts </w:t>
      </w:r>
      <w:hyperlink r:id="rId11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1988</w:t>
        </w:r>
      </w:hyperlink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 and </w:t>
      </w:r>
      <w:hyperlink r:id="rId12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2003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3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Safety, Health and Welfare at Work Act 2005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4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Freedom of Information Act </w:t>
        </w:r>
      </w:hyperlink>
      <w:hyperlink r:id="rId15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2014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6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Official Languages Act 2003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7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Ethics in Public Office Act 1995</w:t>
        </w:r>
      </w:hyperlink>
      <w:bookmarkStart w:id="0" w:name="_GoBack"/>
      <w:bookmarkEnd w:id="0"/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8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Standards in Public Office Act 2001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19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Equality Act 2004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0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Equal Status Act 2000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1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Disability Act 2005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2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Child Trafficking and Pornography Act 1998</w:t>
        </w:r>
      </w:hyperlink>
      <w:r w:rsidRPr="00650C4A">
        <w:rPr>
          <w:rFonts w:ascii="Franklin Gothic Book" w:eastAsia="Times New Roman" w:hAnsi="Franklin Gothic Book" w:cs="Tahoma"/>
          <w:color w:val="444444"/>
          <w:lang w:eastAsia="en-IE"/>
        </w:rPr>
        <w:t> and </w:t>
      </w:r>
      <w:hyperlink r:id="rId23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2004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4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Defamation Act 2009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5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Civil Partnership and Certain Rights and Obligations of Cohabitants Act 2010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12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6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The Ombudsman (Amendment) Act 2012</w:t>
        </w:r>
      </w:hyperlink>
    </w:p>
    <w:p w:rsidR="00650C4A" w:rsidRPr="00650C4A" w:rsidRDefault="00650C4A" w:rsidP="00650C4A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Franklin Gothic Book" w:eastAsia="Times New Roman" w:hAnsi="Franklin Gothic Book" w:cs="Tahoma"/>
          <w:color w:val="444444"/>
          <w:lang w:eastAsia="en-IE"/>
        </w:rPr>
      </w:pPr>
      <w:hyperlink r:id="rId27" w:history="1">
        <w:r w:rsidRPr="00650C4A">
          <w:rPr>
            <w:rFonts w:ascii="Franklin Gothic Book" w:eastAsia="Times New Roman" w:hAnsi="Franklin Gothic Book" w:cs="Tahoma"/>
            <w:color w:val="045398"/>
            <w:u w:val="single"/>
            <w:lang w:eastAsia="en-IE"/>
          </w:rPr>
          <w:t>Qualifications and Quality Assurance Act 2012</w:t>
        </w:r>
      </w:hyperlink>
    </w:p>
    <w:p w:rsidR="00CE2B01" w:rsidRPr="00650C4A" w:rsidRDefault="00CE2B01">
      <w:pPr>
        <w:rPr>
          <w:rFonts w:ascii="Franklin Gothic Book" w:hAnsi="Franklin Gothic Book"/>
        </w:rPr>
      </w:pPr>
    </w:p>
    <w:sectPr w:rsidR="00CE2B01" w:rsidRPr="0065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5EA8"/>
    <w:multiLevelType w:val="multilevel"/>
    <w:tmpl w:val="20AE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4A"/>
    <w:rsid w:val="00650C4A"/>
    <w:rsid w:val="00C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50C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50C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2000/act/28/enacted/en/html" TargetMode="External"/><Relationship Id="rId13" Type="http://schemas.openxmlformats.org/officeDocument/2006/relationships/hyperlink" Target="http://www.irishstatutebook.ie/eli/2005/act/10/enacted/en/html" TargetMode="External"/><Relationship Id="rId18" Type="http://schemas.openxmlformats.org/officeDocument/2006/relationships/hyperlink" Target="http://www.irishstatutebook.ie/2001/en/act/pub/0031/index.html" TargetMode="External"/><Relationship Id="rId26" Type="http://schemas.openxmlformats.org/officeDocument/2006/relationships/hyperlink" Target="https://www.ombudsman.gov.ie/en/About-Us/Legislation/Ombudsman-Amendment-Act-201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rishstatutebook.ie/2005/en/act/pub/0014/index.html" TargetMode="External"/><Relationship Id="rId7" Type="http://schemas.openxmlformats.org/officeDocument/2006/relationships/hyperlink" Target="http://www.irishstatutebook.ie/eli/1993/act/8/enacted/en/html" TargetMode="External"/><Relationship Id="rId12" Type="http://schemas.openxmlformats.org/officeDocument/2006/relationships/hyperlink" Target="http://www.irishstatutebook.ie/eli/2003/act/6/enacted/en/html" TargetMode="External"/><Relationship Id="rId17" Type="http://schemas.openxmlformats.org/officeDocument/2006/relationships/hyperlink" Target="http://www.irishstatutebook.ie/1995/en/act/pub/0022/index.html" TargetMode="External"/><Relationship Id="rId25" Type="http://schemas.openxmlformats.org/officeDocument/2006/relationships/hyperlink" Target="http://www.irishstatutebook.ie/2010/en/act/pub/0024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ishstatutebook.ie/2003/en/act/pub/0032/index.html" TargetMode="External"/><Relationship Id="rId20" Type="http://schemas.openxmlformats.org/officeDocument/2006/relationships/hyperlink" Target="http://www.irishstatutebook.ie/2000/en/act/pub/0008/index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ishstatutebook.ie/eli/1971/act/22/enacted/en/html" TargetMode="External"/><Relationship Id="rId11" Type="http://schemas.openxmlformats.org/officeDocument/2006/relationships/hyperlink" Target="http://www.irishstatutebook.ie/eli/1988/act/25/enacted/en/html" TargetMode="External"/><Relationship Id="rId24" Type="http://schemas.openxmlformats.org/officeDocument/2006/relationships/hyperlink" Target="http://www.irishstatutebook.ie/2009/en/act/pub/0031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i.gov.ie/" TargetMode="External"/><Relationship Id="rId23" Type="http://schemas.openxmlformats.org/officeDocument/2006/relationships/hyperlink" Target="http://www.irishstatutebook.ie/2004/en/act/pub/0017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rishstatutebook.ie/eli/2007/act/39/enacted/en/html" TargetMode="External"/><Relationship Id="rId19" Type="http://schemas.openxmlformats.org/officeDocument/2006/relationships/hyperlink" Target="http://www.irishstatutebook.ie/2004/en/act/pub/0024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hstatutebook.ie/eli/2004/act/18/enacted/en/html" TargetMode="External"/><Relationship Id="rId14" Type="http://schemas.openxmlformats.org/officeDocument/2006/relationships/hyperlink" Target="http://foi.gov.ie/" TargetMode="External"/><Relationship Id="rId22" Type="http://schemas.openxmlformats.org/officeDocument/2006/relationships/hyperlink" Target="http://www.irishstatutebook.ie/1998/en/act/pub/0022/index.html" TargetMode="External"/><Relationship Id="rId27" Type="http://schemas.openxmlformats.org/officeDocument/2006/relationships/hyperlink" Target="http://www.qqi.ie/Publications/Qualifications%20and%20Quality%20Assurance%20Act%20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Hargadon</dc:creator>
  <cp:lastModifiedBy>Marian Hargadon</cp:lastModifiedBy>
  <cp:revision>1</cp:revision>
  <dcterms:created xsi:type="dcterms:W3CDTF">2016-05-26T10:27:00Z</dcterms:created>
  <dcterms:modified xsi:type="dcterms:W3CDTF">2016-05-26T10:32:00Z</dcterms:modified>
</cp:coreProperties>
</file>