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DD0" w:rsidRPr="00F04160" w:rsidRDefault="00E559FE" w:rsidP="00F04160">
      <w:pPr>
        <w:pStyle w:val="Title"/>
      </w:pPr>
      <w:bookmarkStart w:id="0" w:name="_Toc303862024"/>
      <w:bookmarkStart w:id="1" w:name="_Toc305076887"/>
      <w:r>
        <w:t>Chapter 1 Governance and Academic Management.</w:t>
      </w:r>
    </w:p>
    <w:p w:rsidR="00E62DD0" w:rsidRPr="008C1C9F" w:rsidRDefault="00E62DD0" w:rsidP="005500D6">
      <w:pPr>
        <w:spacing w:beforeLines="120" w:before="288"/>
        <w:contextualSpacing/>
        <w:jc w:val="both"/>
        <w:rPr>
          <w:rFonts w:eastAsia="Times New Roman" w:cs="Arial"/>
          <w:color w:val="000000"/>
          <w:lang w:val="en-GB" w:eastAsia="en-US"/>
        </w:rPr>
      </w:pPr>
      <w:r w:rsidRPr="008C1C9F">
        <w:rPr>
          <w:rFonts w:eastAsia="Times New Roman" w:cs="Arial"/>
          <w:color w:val="000000"/>
          <w:lang w:val="en-GB" w:eastAsia="en-US"/>
        </w:rPr>
        <w:t xml:space="preserve">This document has been developed to present the quality assurance procedures at the Institute of Technology Sligo that are in operation.  Accompanying documents including inter alia the Institute’s Procedures Manual, Marks and Standards, Staff Handbook and the Institute’s Interview Guidelines shall be considered as an integral part of the Institute’s quality assurance procedures.  The Institute is committed to compliance with statutory </w:t>
      </w:r>
      <w:r w:rsidR="00E66A69" w:rsidRPr="008C1C9F">
        <w:rPr>
          <w:rFonts w:eastAsia="Times New Roman" w:cs="Arial"/>
          <w:color w:val="000000"/>
          <w:lang w:val="en-GB" w:eastAsia="en-US"/>
        </w:rPr>
        <w:t>requirement quality</w:t>
      </w:r>
      <w:r w:rsidRPr="008C1C9F">
        <w:rPr>
          <w:rFonts w:eastAsia="Times New Roman" w:cs="Arial"/>
          <w:color w:val="000000"/>
          <w:lang w:val="en-GB" w:eastAsia="en-US"/>
        </w:rPr>
        <w:t xml:space="preserve"> assurance regulations and to timely revision of this document in keeping with changing National and International requirements and in harmony with improved work practices within the Institute.</w:t>
      </w:r>
    </w:p>
    <w:p w:rsidR="00E62DD0" w:rsidRPr="008C1C9F" w:rsidRDefault="00E62DD0" w:rsidP="00E62DD0">
      <w:pPr>
        <w:tabs>
          <w:tab w:val="left" w:pos="3686"/>
          <w:tab w:val="center" w:pos="4416"/>
          <w:tab w:val="left" w:pos="7080"/>
        </w:tabs>
        <w:spacing w:after="0" w:line="240" w:lineRule="auto"/>
        <w:ind w:right="-1"/>
        <w:rPr>
          <w:rFonts w:eastAsia="Times New Roman" w:cs="Arial"/>
          <w:color w:val="000000"/>
          <w:lang w:val="en-GB" w:eastAsia="en-US"/>
        </w:rPr>
      </w:pPr>
      <w:r w:rsidRPr="008C1C9F">
        <w:rPr>
          <w:rFonts w:eastAsia="Times New Roman" w:cs="Arial"/>
          <w:color w:val="000000"/>
          <w:lang w:val="en-GB" w:eastAsia="en-US"/>
        </w:rPr>
        <w:tab/>
      </w:r>
      <w:r w:rsidRPr="008C1C9F">
        <w:rPr>
          <w:rFonts w:eastAsia="Times New Roman" w:cs="Arial"/>
          <w:noProof/>
          <w:color w:val="000000"/>
        </w:rPr>
        <mc:AlternateContent>
          <mc:Choice Requires="wpc">
            <w:drawing>
              <wp:inline distT="0" distB="0" distL="0" distR="0" wp14:anchorId="5186B295" wp14:editId="377DD63F">
                <wp:extent cx="5686425" cy="912299"/>
                <wp:effectExtent l="0" t="0" r="0" b="2540"/>
                <wp:docPr id="34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5" name="Text Box 4"/>
                        <wps:cNvSpPr txBox="1">
                          <a:spLocks noChangeArrowheads="1"/>
                        </wps:cNvSpPr>
                        <wps:spPr bwMode="auto">
                          <a:xfrm>
                            <a:off x="171401" y="1"/>
                            <a:ext cx="5400724" cy="876300"/>
                          </a:xfrm>
                          <a:prstGeom prst="rect">
                            <a:avLst/>
                          </a:prstGeom>
                          <a:solidFill>
                            <a:srgbClr val="FFFFFF"/>
                          </a:solidFill>
                          <a:ln w="9525">
                            <a:solidFill>
                              <a:srgbClr val="000000"/>
                            </a:solidFill>
                            <a:miter lim="800000"/>
                            <a:headEnd/>
                            <a:tailEnd/>
                          </a:ln>
                        </wps:spPr>
                        <wps:txbx>
                          <w:txbxContent>
                            <w:p w:rsidR="00E62DD0" w:rsidRDefault="00E62DD0" w:rsidP="00E62DD0">
                              <w:r>
                                <w:t>“</w:t>
                              </w:r>
                              <w:r>
                                <w:rPr>
                                  <w:i/>
                                </w:rPr>
                                <w:t>There is nothing wrong in change if it is in the right direction.  To improve is to change, so to be perfect is to have changed often</w:t>
                              </w:r>
                              <w:r>
                                <w:t>”.</w:t>
                              </w:r>
                            </w:p>
                            <w:p w:rsidR="00E62DD0" w:rsidRDefault="00E62DD0" w:rsidP="00E62DD0">
                              <w:pPr>
                                <w:jc w:val="center"/>
                              </w:pPr>
                              <w:r>
                                <w:t>Winston Churchill</w:t>
                              </w:r>
                            </w:p>
                          </w:txbxContent>
                        </wps:txbx>
                        <wps:bodyPr rot="0" vert="horz" wrap="square" lIns="91440" tIns="45720" rIns="91440" bIns="45720" anchor="t" anchorCtr="0" upright="1">
                          <a:noAutofit/>
                        </wps:bodyPr>
                      </wps:wsp>
                    </wpc:wpc>
                  </a:graphicData>
                </a:graphic>
              </wp:inline>
            </w:drawing>
          </mc:Choice>
          <mc:Fallback>
            <w:pict>
              <v:group w14:anchorId="5186B295" id="Canvas 2" o:spid="_x0000_s1026" editas="canvas" style="width:447.75pt;height:71.85pt;mso-position-horizontal-relative:char;mso-position-vertical-relative:line" coordsize="56864,9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864;height:911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714;width:54007;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">
                  <v:textbox>
                    <w:txbxContent>
                      <w:p w:rsidR="00E62DD0" w:rsidRDefault="00E62DD0" w:rsidP="00E62DD0">
                        <w:r>
                          <w:t>“</w:t>
                        </w:r>
                        <w:r>
                          <w:rPr>
                            <w:i/>
                          </w:rPr>
                          <w:t>There is nothing wrong in change if it is in the right direction.  To improve is to change, so to be perfect is to have changed often</w:t>
                        </w:r>
                        <w:r>
                          <w:t>”.</w:t>
                        </w:r>
                      </w:p>
                      <w:p w:rsidR="00E62DD0" w:rsidRDefault="00E62DD0" w:rsidP="00E62DD0">
                        <w:pPr>
                          <w:jc w:val="center"/>
                        </w:pPr>
                        <w:r>
                          <w:t>Winston Churchill</w:t>
                        </w:r>
                      </w:p>
                    </w:txbxContent>
                  </v:textbox>
                </v:shape>
                <w10:anchorlock/>
              </v:group>
            </w:pict>
          </mc:Fallback>
        </mc:AlternateContent>
      </w:r>
      <w:r w:rsidRPr="008C1C9F">
        <w:rPr>
          <w:rFonts w:eastAsia="Times New Roman" w:cs="Arial"/>
          <w:color w:val="000000"/>
          <w:lang w:val="en-GB" w:eastAsia="en-US"/>
        </w:rPr>
        <w:tab/>
      </w:r>
    </w:p>
    <w:p w:rsidR="00E62DD0" w:rsidRPr="008C1C9F" w:rsidRDefault="00E62DD0" w:rsidP="00E62DD0">
      <w:pPr>
        <w:tabs>
          <w:tab w:val="left" w:pos="3686"/>
        </w:tabs>
        <w:spacing w:after="0" w:line="240" w:lineRule="auto"/>
        <w:ind w:right="-1"/>
        <w:rPr>
          <w:rFonts w:eastAsia="Times New Roman" w:cs="Arial"/>
          <w:b/>
          <w:color w:val="000000"/>
          <w:lang w:val="en-GB" w:eastAsia="en-US"/>
        </w:rPr>
      </w:pPr>
      <w:bookmarkStart w:id="2" w:name="RevisionHistory"/>
      <w:r w:rsidRPr="008C1C9F">
        <w:rPr>
          <w:rFonts w:eastAsia="Times New Roman" w:cs="Arial"/>
          <w:b/>
          <w:color w:val="000000"/>
          <w:lang w:val="en-GB" w:eastAsia="en-US"/>
        </w:rPr>
        <w:t>Revision History</w:t>
      </w:r>
      <w:bookmarkEnd w:id="2"/>
    </w:p>
    <w:p w:rsidR="00E62DD0" w:rsidRPr="008C1C9F" w:rsidRDefault="00E62DD0" w:rsidP="00E62DD0">
      <w:pPr>
        <w:tabs>
          <w:tab w:val="left" w:pos="3686"/>
        </w:tabs>
        <w:spacing w:after="0" w:line="240" w:lineRule="auto"/>
        <w:ind w:right="-1"/>
        <w:rPr>
          <w:rFonts w:eastAsia="Times New Roman" w:cs="Arial"/>
          <w:color w:val="000000"/>
          <w:lang w:val="en-GB" w:eastAsia="en-US"/>
        </w:rPr>
      </w:pPr>
    </w:p>
    <w:p w:rsidR="00E62DD0" w:rsidRPr="008C1C9F" w:rsidRDefault="00E62DD0" w:rsidP="00647B31">
      <w:pPr>
        <w:tabs>
          <w:tab w:val="left" w:pos="1080"/>
          <w:tab w:val="left" w:pos="3119"/>
          <w:tab w:val="left" w:pos="3150"/>
        </w:tabs>
        <w:spacing w:after="0" w:line="240" w:lineRule="auto"/>
        <w:ind w:right="-1"/>
        <w:rPr>
          <w:rFonts w:eastAsia="Times New Roman" w:cs="Arial"/>
          <w:b/>
          <w:bCs/>
          <w:color w:val="000000"/>
          <w:lang w:val="en-GB" w:eastAsia="en-US"/>
        </w:rPr>
      </w:pPr>
      <w:r w:rsidRPr="008C1C9F">
        <w:rPr>
          <w:rFonts w:eastAsia="Times New Roman" w:cs="Arial"/>
          <w:b/>
          <w:bCs/>
          <w:color w:val="000000"/>
          <w:lang w:val="en-GB" w:eastAsia="en-US"/>
        </w:rPr>
        <w:t>Rev. No.</w:t>
      </w:r>
      <w:r w:rsidRPr="008C1C9F">
        <w:rPr>
          <w:rFonts w:eastAsia="Times New Roman" w:cs="Arial"/>
          <w:b/>
          <w:bCs/>
          <w:color w:val="000000"/>
          <w:lang w:val="en-GB" w:eastAsia="en-US"/>
        </w:rPr>
        <w:tab/>
        <w:t>Issue Date</w:t>
      </w:r>
      <w:r w:rsidRPr="008C1C9F">
        <w:rPr>
          <w:rFonts w:eastAsia="Times New Roman" w:cs="Arial"/>
          <w:b/>
          <w:bCs/>
          <w:color w:val="000000"/>
          <w:lang w:val="en-GB" w:eastAsia="en-US"/>
        </w:rPr>
        <w:tab/>
      </w:r>
      <w:r w:rsidRPr="008C1C9F">
        <w:rPr>
          <w:rFonts w:eastAsia="Times New Roman" w:cs="Arial"/>
          <w:b/>
          <w:bCs/>
          <w:color w:val="000000"/>
          <w:lang w:val="en-GB" w:eastAsia="en-US"/>
        </w:rPr>
        <w:tab/>
        <w:t>Description of Change</w:t>
      </w:r>
    </w:p>
    <w:p w:rsidR="00E62DD0" w:rsidRPr="008C1C9F" w:rsidRDefault="00E62DD0" w:rsidP="00647B31">
      <w:pPr>
        <w:tabs>
          <w:tab w:val="left" w:pos="270"/>
          <w:tab w:val="left" w:pos="1080"/>
          <w:tab w:val="left" w:pos="1418"/>
          <w:tab w:val="left" w:pos="3150"/>
        </w:tabs>
        <w:spacing w:after="0" w:line="240" w:lineRule="auto"/>
        <w:ind w:right="-1"/>
        <w:rPr>
          <w:rFonts w:eastAsia="Times New Roman" w:cs="Arial"/>
          <w:color w:val="000000"/>
          <w:lang w:val="en-GB" w:eastAsia="en-US"/>
        </w:rPr>
      </w:pPr>
      <w:r w:rsidRPr="008C1C9F">
        <w:rPr>
          <w:rFonts w:eastAsia="Times New Roman" w:cs="Arial"/>
          <w:color w:val="000000"/>
          <w:lang w:val="en-GB" w:eastAsia="en-US"/>
        </w:rPr>
        <w:tab/>
        <w:t xml:space="preserve">000 </w:t>
      </w:r>
      <w:r w:rsidRPr="008C1C9F">
        <w:rPr>
          <w:rFonts w:eastAsia="Times New Roman" w:cs="Arial"/>
          <w:color w:val="000000"/>
          <w:lang w:val="en-GB" w:eastAsia="en-US"/>
        </w:rPr>
        <w:tab/>
        <w:t xml:space="preserve">Feb 2003 </w:t>
      </w:r>
      <w:r w:rsidRPr="008C1C9F">
        <w:rPr>
          <w:rFonts w:eastAsia="Times New Roman" w:cs="Arial"/>
          <w:color w:val="000000"/>
          <w:lang w:val="en-GB" w:eastAsia="en-US"/>
        </w:rPr>
        <w:tab/>
        <w:t>Original</w:t>
      </w:r>
    </w:p>
    <w:p w:rsidR="00E62DD0" w:rsidRPr="008C1C9F" w:rsidRDefault="00E62DD0" w:rsidP="00647B31">
      <w:pPr>
        <w:tabs>
          <w:tab w:val="left" w:pos="270"/>
          <w:tab w:val="left" w:pos="1080"/>
          <w:tab w:val="left" w:pos="1418"/>
          <w:tab w:val="left" w:pos="3150"/>
        </w:tabs>
        <w:spacing w:after="0" w:line="240" w:lineRule="auto"/>
        <w:ind w:right="-1"/>
        <w:rPr>
          <w:rFonts w:eastAsia="Times New Roman" w:cs="Arial"/>
          <w:color w:val="000000"/>
          <w:lang w:val="en-GB" w:eastAsia="en-US"/>
        </w:rPr>
      </w:pPr>
      <w:r w:rsidRPr="008C1C9F">
        <w:rPr>
          <w:rFonts w:eastAsia="Times New Roman" w:cs="Arial"/>
          <w:color w:val="000000"/>
          <w:lang w:val="en-GB" w:eastAsia="en-US"/>
        </w:rPr>
        <w:tab/>
        <w:t xml:space="preserve">001 </w:t>
      </w:r>
      <w:r w:rsidRPr="008C1C9F">
        <w:rPr>
          <w:rFonts w:eastAsia="Times New Roman" w:cs="Arial"/>
          <w:color w:val="000000"/>
          <w:lang w:val="en-GB" w:eastAsia="en-US"/>
        </w:rPr>
        <w:tab/>
        <w:t>Mar 2003</w:t>
      </w:r>
      <w:r w:rsidRPr="008C1C9F">
        <w:rPr>
          <w:rFonts w:eastAsia="Times New Roman" w:cs="Arial"/>
          <w:color w:val="000000"/>
          <w:lang w:val="en-GB" w:eastAsia="en-US"/>
        </w:rPr>
        <w:tab/>
        <w:t>Chart error Page 50 and type editing</w:t>
      </w:r>
    </w:p>
    <w:p w:rsidR="00E62DD0" w:rsidRPr="008C1C9F" w:rsidRDefault="00E62DD0" w:rsidP="00647B31">
      <w:pPr>
        <w:tabs>
          <w:tab w:val="left" w:pos="270"/>
          <w:tab w:val="left" w:pos="1080"/>
          <w:tab w:val="left" w:pos="1418"/>
          <w:tab w:val="left" w:pos="3150"/>
        </w:tabs>
        <w:spacing w:after="0" w:line="240" w:lineRule="auto"/>
        <w:ind w:right="-1"/>
        <w:rPr>
          <w:rFonts w:eastAsia="Times New Roman" w:cs="Arial"/>
          <w:color w:val="000000"/>
          <w:lang w:val="en-GB" w:eastAsia="en-US"/>
        </w:rPr>
      </w:pPr>
      <w:r w:rsidRPr="008C1C9F">
        <w:rPr>
          <w:rFonts w:eastAsia="Times New Roman" w:cs="Arial"/>
          <w:color w:val="000000"/>
          <w:lang w:val="en-GB" w:eastAsia="en-US"/>
        </w:rPr>
        <w:tab/>
        <w:t xml:space="preserve">002 </w:t>
      </w:r>
      <w:r w:rsidRPr="008C1C9F">
        <w:rPr>
          <w:rFonts w:eastAsia="Times New Roman" w:cs="Arial"/>
          <w:color w:val="000000"/>
          <w:lang w:val="en-GB" w:eastAsia="en-US"/>
        </w:rPr>
        <w:tab/>
        <w:t>Aug 2003</w:t>
      </w:r>
      <w:r w:rsidRPr="008C1C9F">
        <w:rPr>
          <w:rFonts w:eastAsia="Times New Roman" w:cs="Arial"/>
          <w:color w:val="000000"/>
          <w:lang w:val="en-GB" w:eastAsia="en-US"/>
        </w:rPr>
        <w:tab/>
        <w:t>Editing</w:t>
      </w:r>
    </w:p>
    <w:p w:rsidR="00E62DD0" w:rsidRPr="008C1C9F" w:rsidRDefault="00647B31" w:rsidP="00647B31">
      <w:pPr>
        <w:tabs>
          <w:tab w:val="left" w:pos="270"/>
          <w:tab w:val="left" w:pos="1080"/>
          <w:tab w:val="left" w:pos="1418"/>
          <w:tab w:val="left" w:pos="3150"/>
        </w:tabs>
        <w:spacing w:after="0" w:line="240" w:lineRule="auto"/>
        <w:ind w:right="-1"/>
        <w:rPr>
          <w:rFonts w:eastAsia="Times New Roman" w:cs="Arial"/>
          <w:color w:val="000000"/>
          <w:lang w:val="en-GB" w:eastAsia="en-US"/>
        </w:rPr>
      </w:pPr>
      <w:r w:rsidRPr="008C1C9F">
        <w:rPr>
          <w:rFonts w:eastAsia="Times New Roman" w:cs="Arial"/>
          <w:color w:val="000000"/>
          <w:lang w:val="en-GB" w:eastAsia="en-US"/>
        </w:rPr>
        <w:tab/>
        <w:t>003</w:t>
      </w:r>
      <w:r w:rsidRPr="008C1C9F">
        <w:rPr>
          <w:rFonts w:eastAsia="Times New Roman" w:cs="Arial"/>
          <w:color w:val="000000"/>
          <w:lang w:val="en-GB" w:eastAsia="en-US"/>
        </w:rPr>
        <w:tab/>
      </w:r>
      <w:r w:rsidR="00E62DD0" w:rsidRPr="008C1C9F">
        <w:rPr>
          <w:rFonts w:eastAsia="Times New Roman" w:cs="Arial"/>
          <w:color w:val="000000"/>
          <w:lang w:val="en-GB" w:eastAsia="en-US"/>
        </w:rPr>
        <w:t>May 2004</w:t>
      </w:r>
      <w:r w:rsidR="00E62DD0" w:rsidRPr="008C1C9F">
        <w:rPr>
          <w:rFonts w:eastAsia="Times New Roman" w:cs="Arial"/>
          <w:color w:val="000000"/>
          <w:lang w:val="en-GB" w:eastAsia="en-US"/>
        </w:rPr>
        <w:tab/>
      </w:r>
      <w:hyperlink r:id="rId11" w:anchor="_APPENDIX_1.4_" w:history="1">
        <w:r w:rsidR="00E62DD0" w:rsidRPr="00E623BF">
          <w:rPr>
            <w:rFonts w:eastAsia="Times New Roman" w:cs="Times New Roman"/>
            <w:color w:val="000000"/>
            <w:lang w:val="en-GB" w:eastAsia="en-US"/>
          </w:rPr>
          <w:t>AC Committee Terms of Reference (Appendix  1.4)</w:t>
        </w:r>
      </w:hyperlink>
      <w:r w:rsidR="00E62DD0" w:rsidRPr="00E623BF">
        <w:rPr>
          <w:rFonts w:eastAsia="Times New Roman" w:cs="Arial"/>
          <w:color w:val="000000"/>
          <w:lang w:val="en-GB" w:eastAsia="en-US"/>
        </w:rPr>
        <w:t xml:space="preserve"> </w:t>
      </w:r>
      <w:r w:rsidR="00E62DD0" w:rsidRPr="00E623BF">
        <w:rPr>
          <w:rFonts w:eastAsia="Times New Roman" w:cs="Arial"/>
          <w:color w:val="000000"/>
          <w:lang w:val="en-GB" w:eastAsia="en-US"/>
        </w:rPr>
        <w:br/>
      </w:r>
      <w:r w:rsidR="00E62DD0" w:rsidRPr="00E623BF">
        <w:rPr>
          <w:rFonts w:eastAsia="Times New Roman" w:cs="Times New Roman"/>
          <w:sz w:val="24"/>
          <w:szCs w:val="24"/>
          <w:lang w:val="en-GB" w:eastAsia="en-US"/>
        </w:rPr>
        <w:tab/>
      </w:r>
      <w:r w:rsidRPr="00E623BF">
        <w:rPr>
          <w:rFonts w:eastAsia="Times New Roman" w:cs="Times New Roman"/>
          <w:sz w:val="24"/>
          <w:szCs w:val="24"/>
          <w:lang w:val="en-GB" w:eastAsia="en-US"/>
        </w:rPr>
        <w:tab/>
      </w:r>
      <w:r w:rsidRPr="00E623BF">
        <w:rPr>
          <w:rFonts w:eastAsia="Times New Roman" w:cs="Times New Roman"/>
          <w:sz w:val="24"/>
          <w:szCs w:val="24"/>
          <w:lang w:val="en-GB" w:eastAsia="en-US"/>
        </w:rPr>
        <w:tab/>
      </w:r>
      <w:r w:rsidRPr="00E623BF">
        <w:rPr>
          <w:rFonts w:eastAsia="Times New Roman" w:cs="Times New Roman"/>
          <w:sz w:val="24"/>
          <w:szCs w:val="24"/>
          <w:lang w:val="en-GB" w:eastAsia="en-US"/>
        </w:rPr>
        <w:tab/>
      </w:r>
      <w:hyperlink r:id="rId12" w:anchor="_2.7_Audit_of" w:history="1">
        <w:r w:rsidR="00E62DD0" w:rsidRPr="00E623BF">
          <w:rPr>
            <w:rFonts w:eastAsia="Times New Roman" w:cs="Times New Roman"/>
            <w:color w:val="000000"/>
            <w:lang w:val="en-GB" w:eastAsia="en-US"/>
          </w:rPr>
          <w:t>Audit of Conditions of Validation (2.7)</w:t>
        </w:r>
      </w:hyperlink>
      <w:r w:rsidR="00E62DD0" w:rsidRPr="00E623BF">
        <w:rPr>
          <w:rFonts w:eastAsia="Times New Roman" w:cs="Arial"/>
          <w:color w:val="000000"/>
          <w:lang w:val="en-GB" w:eastAsia="en-US"/>
        </w:rPr>
        <w:t xml:space="preserve"> </w:t>
      </w:r>
      <w:r w:rsidR="00E62DD0" w:rsidRPr="00E623BF">
        <w:rPr>
          <w:rFonts w:eastAsia="Times New Roman" w:cs="Arial"/>
          <w:color w:val="000000"/>
          <w:lang w:val="en-GB" w:eastAsia="en-US"/>
        </w:rPr>
        <w:br/>
      </w:r>
      <w:r w:rsidR="00E62DD0" w:rsidRPr="00E623BF">
        <w:rPr>
          <w:rFonts w:eastAsia="Times New Roman" w:cs="Times New Roman"/>
          <w:sz w:val="24"/>
          <w:szCs w:val="24"/>
          <w:lang w:val="en-GB" w:eastAsia="en-US"/>
        </w:rPr>
        <w:tab/>
      </w:r>
      <w:r w:rsidR="00E62DD0" w:rsidRPr="00E623BF">
        <w:rPr>
          <w:rFonts w:eastAsia="Times New Roman" w:cs="Times New Roman"/>
          <w:sz w:val="24"/>
          <w:szCs w:val="24"/>
          <w:lang w:val="en-GB" w:eastAsia="en-US"/>
        </w:rPr>
        <w:tab/>
      </w:r>
      <w:r w:rsidR="00E62DD0" w:rsidRPr="00E623BF">
        <w:rPr>
          <w:rFonts w:eastAsia="Times New Roman" w:cs="Times New Roman"/>
          <w:sz w:val="24"/>
          <w:szCs w:val="24"/>
          <w:lang w:val="en-GB" w:eastAsia="en-US"/>
        </w:rPr>
        <w:tab/>
      </w:r>
      <w:r w:rsidRPr="00E623BF">
        <w:rPr>
          <w:rFonts w:eastAsia="Times New Roman" w:cs="Times New Roman"/>
          <w:sz w:val="24"/>
          <w:szCs w:val="24"/>
          <w:lang w:val="en-GB" w:eastAsia="en-US"/>
        </w:rPr>
        <w:tab/>
      </w:r>
      <w:hyperlink r:id="rId13" w:anchor="_2.8.2_Minor_Changes" w:history="1">
        <w:r w:rsidR="00E62DD0" w:rsidRPr="00E623BF">
          <w:rPr>
            <w:rFonts w:eastAsia="Times New Roman" w:cs="Times New Roman"/>
            <w:color w:val="000000"/>
            <w:lang w:val="en-GB" w:eastAsia="en-US"/>
          </w:rPr>
          <w:t>Minor modifications to programmes (2.8.2)</w:t>
        </w:r>
      </w:hyperlink>
      <w:r w:rsidR="00E62DD0" w:rsidRPr="00E623BF">
        <w:rPr>
          <w:rFonts w:eastAsia="Times New Roman" w:cs="Arial"/>
          <w:color w:val="000000"/>
          <w:lang w:val="en-GB" w:eastAsia="en-US"/>
        </w:rPr>
        <w:br/>
      </w:r>
      <w:r w:rsidR="00E62DD0" w:rsidRPr="00E623BF">
        <w:rPr>
          <w:rFonts w:eastAsia="Times New Roman" w:cs="Times New Roman"/>
          <w:sz w:val="24"/>
          <w:szCs w:val="24"/>
          <w:lang w:val="en-GB" w:eastAsia="en-US"/>
        </w:rPr>
        <w:tab/>
      </w:r>
      <w:r w:rsidR="00E62DD0" w:rsidRPr="00E623BF">
        <w:rPr>
          <w:rFonts w:eastAsia="Times New Roman" w:cs="Times New Roman"/>
          <w:sz w:val="24"/>
          <w:szCs w:val="24"/>
          <w:lang w:val="en-GB" w:eastAsia="en-US"/>
        </w:rPr>
        <w:tab/>
      </w:r>
      <w:r w:rsidR="00E62DD0" w:rsidRPr="00E623BF">
        <w:rPr>
          <w:rFonts w:eastAsia="Times New Roman" w:cs="Times New Roman"/>
          <w:sz w:val="24"/>
          <w:szCs w:val="24"/>
          <w:lang w:val="en-GB" w:eastAsia="en-US"/>
        </w:rPr>
        <w:tab/>
      </w:r>
      <w:r w:rsidRPr="00E623BF">
        <w:rPr>
          <w:rFonts w:eastAsia="Times New Roman" w:cs="Times New Roman"/>
          <w:sz w:val="24"/>
          <w:szCs w:val="24"/>
          <w:lang w:val="en-GB" w:eastAsia="en-US"/>
        </w:rPr>
        <w:tab/>
      </w:r>
      <w:hyperlink r:id="rId14" w:anchor="_3.5_Continuous_Assessment" w:history="1">
        <w:r w:rsidR="00E62DD0" w:rsidRPr="00E623BF">
          <w:rPr>
            <w:rFonts w:eastAsia="Times New Roman" w:cs="Times New Roman"/>
            <w:color w:val="000000"/>
            <w:lang w:val="en-GB" w:eastAsia="en-US"/>
          </w:rPr>
          <w:t>Continuous Assessment (3.5)</w:t>
        </w:r>
      </w:hyperlink>
      <w:r w:rsidR="00E62DD0" w:rsidRPr="00E623BF">
        <w:rPr>
          <w:rFonts w:eastAsia="Times New Roman" w:cs="Arial"/>
          <w:color w:val="000000"/>
          <w:lang w:val="en-GB" w:eastAsia="en-US"/>
        </w:rPr>
        <w:t xml:space="preserve"> </w:t>
      </w:r>
      <w:r w:rsidR="00E62DD0" w:rsidRPr="00E623BF">
        <w:rPr>
          <w:rFonts w:eastAsia="Times New Roman" w:cs="Arial"/>
          <w:color w:val="000000"/>
          <w:lang w:val="en-GB" w:eastAsia="en-US"/>
        </w:rPr>
        <w:br/>
      </w:r>
      <w:r w:rsidR="00E62DD0" w:rsidRPr="008C1C9F">
        <w:rPr>
          <w:rFonts w:eastAsia="Times New Roman" w:cs="Arial"/>
          <w:color w:val="000000"/>
          <w:lang w:val="en-GB" w:eastAsia="en-US"/>
        </w:rPr>
        <w:tab/>
      </w:r>
      <w:r w:rsidR="00E62DD0" w:rsidRPr="008C1C9F">
        <w:rPr>
          <w:rFonts w:eastAsia="Times New Roman" w:cs="Arial"/>
          <w:color w:val="000000"/>
          <w:lang w:val="en-GB" w:eastAsia="en-US"/>
        </w:rPr>
        <w:tab/>
      </w:r>
      <w:r w:rsidR="00E62DD0" w:rsidRPr="008C1C9F">
        <w:rPr>
          <w:rFonts w:eastAsia="Times New Roman" w:cs="Arial"/>
          <w:color w:val="000000"/>
          <w:lang w:val="en-GB" w:eastAsia="en-US"/>
        </w:rPr>
        <w:tab/>
      </w:r>
      <w:r w:rsidRPr="008C1C9F">
        <w:rPr>
          <w:rFonts w:eastAsia="Times New Roman" w:cs="Arial"/>
          <w:color w:val="000000"/>
          <w:lang w:val="en-GB" w:eastAsia="en-US"/>
        </w:rPr>
        <w:tab/>
      </w:r>
      <w:r w:rsidR="00E62DD0" w:rsidRPr="008C1C9F">
        <w:rPr>
          <w:rFonts w:eastAsia="Times New Roman" w:cs="Arial"/>
          <w:color w:val="000000"/>
          <w:lang w:val="en-GB" w:eastAsia="en-US"/>
        </w:rPr>
        <w:t>Rewording recommended by self-study groups</w:t>
      </w:r>
      <w:r w:rsidR="00E62DD0" w:rsidRPr="008C1C9F">
        <w:rPr>
          <w:rFonts w:eastAsia="Times New Roman" w:cs="Arial"/>
          <w:color w:val="000000"/>
          <w:lang w:val="en-GB" w:eastAsia="en-US"/>
        </w:rPr>
        <w:br/>
      </w:r>
      <w:r w:rsidR="00E62DD0" w:rsidRPr="008C1C9F">
        <w:rPr>
          <w:rFonts w:eastAsia="Times New Roman" w:cs="Arial"/>
          <w:color w:val="000000"/>
          <w:lang w:val="en-GB" w:eastAsia="en-US"/>
        </w:rPr>
        <w:tab/>
      </w:r>
      <w:r w:rsidR="00E62DD0" w:rsidRPr="008C1C9F">
        <w:rPr>
          <w:rFonts w:eastAsia="Times New Roman" w:cs="Arial"/>
          <w:color w:val="000000"/>
          <w:lang w:val="en-GB" w:eastAsia="en-US"/>
        </w:rPr>
        <w:tab/>
      </w:r>
      <w:r w:rsidR="00E62DD0" w:rsidRPr="008C1C9F">
        <w:rPr>
          <w:rFonts w:eastAsia="Times New Roman" w:cs="Arial"/>
          <w:color w:val="000000"/>
          <w:lang w:val="en-GB" w:eastAsia="en-US"/>
        </w:rPr>
        <w:tab/>
      </w:r>
      <w:r w:rsidRPr="008C1C9F">
        <w:rPr>
          <w:rFonts w:eastAsia="Times New Roman" w:cs="Arial"/>
          <w:color w:val="000000"/>
          <w:lang w:val="en-GB" w:eastAsia="en-US"/>
        </w:rPr>
        <w:tab/>
      </w:r>
      <w:r w:rsidR="00E62DD0" w:rsidRPr="008C1C9F">
        <w:rPr>
          <w:rFonts w:eastAsia="Times New Roman" w:cs="Arial"/>
          <w:color w:val="000000"/>
          <w:lang w:val="en-GB" w:eastAsia="en-US"/>
        </w:rPr>
        <w:t>Chapter layout including underlined links.</w:t>
      </w:r>
    </w:p>
    <w:p w:rsidR="00E62DD0" w:rsidRPr="008C1C9F" w:rsidRDefault="00E62DD0" w:rsidP="00647B31">
      <w:pPr>
        <w:tabs>
          <w:tab w:val="left" w:pos="270"/>
          <w:tab w:val="left" w:pos="720"/>
          <w:tab w:val="left" w:pos="1080"/>
          <w:tab w:val="left" w:pos="1418"/>
          <w:tab w:val="left" w:pos="3150"/>
        </w:tabs>
        <w:spacing w:after="0" w:line="240" w:lineRule="auto"/>
        <w:ind w:right="-1"/>
        <w:rPr>
          <w:rFonts w:eastAsia="Times New Roman" w:cs="Arial"/>
          <w:color w:val="000000"/>
          <w:lang w:val="en-GB" w:eastAsia="en-US"/>
        </w:rPr>
      </w:pPr>
      <w:r w:rsidRPr="008C1C9F">
        <w:rPr>
          <w:rFonts w:eastAsia="Times New Roman" w:cs="Arial"/>
          <w:color w:val="000000"/>
          <w:lang w:val="en-GB" w:eastAsia="en-US"/>
        </w:rPr>
        <w:tab/>
        <w:t>004</w:t>
      </w:r>
      <w:r w:rsidRPr="008C1C9F">
        <w:rPr>
          <w:rFonts w:eastAsia="Times New Roman" w:cs="Arial"/>
          <w:color w:val="000000"/>
          <w:lang w:val="en-GB" w:eastAsia="en-US"/>
        </w:rPr>
        <w:tab/>
      </w:r>
      <w:r w:rsidRPr="008C1C9F">
        <w:rPr>
          <w:rFonts w:eastAsia="Times New Roman" w:cs="Arial"/>
          <w:color w:val="000000"/>
          <w:lang w:val="en-GB" w:eastAsia="en-US"/>
        </w:rPr>
        <w:tab/>
        <w:t>October 2008</w:t>
      </w:r>
      <w:r w:rsidRPr="008C1C9F">
        <w:rPr>
          <w:rFonts w:eastAsia="Times New Roman" w:cs="Arial"/>
          <w:color w:val="000000"/>
          <w:lang w:val="en-GB" w:eastAsia="en-US"/>
        </w:rPr>
        <w:tab/>
        <w:t>DRAFT Update of entire document</w:t>
      </w:r>
    </w:p>
    <w:p w:rsidR="00E62DD0" w:rsidRPr="008C1C9F" w:rsidRDefault="00647B31" w:rsidP="00647B31">
      <w:pPr>
        <w:tabs>
          <w:tab w:val="left" w:pos="270"/>
          <w:tab w:val="left" w:pos="720"/>
          <w:tab w:val="left" w:pos="1080"/>
          <w:tab w:val="left" w:pos="1418"/>
          <w:tab w:val="left" w:pos="3150"/>
        </w:tabs>
        <w:spacing w:after="0" w:line="240" w:lineRule="auto"/>
        <w:ind w:right="-1"/>
        <w:rPr>
          <w:rFonts w:eastAsia="Times New Roman" w:cs="Arial"/>
          <w:color w:val="000000"/>
          <w:lang w:val="en-GB" w:eastAsia="en-US"/>
        </w:rPr>
      </w:pPr>
      <w:r w:rsidRPr="008C1C9F">
        <w:rPr>
          <w:rFonts w:eastAsia="Times New Roman" w:cs="Arial"/>
          <w:color w:val="000000"/>
          <w:lang w:val="en-GB" w:eastAsia="en-US"/>
        </w:rPr>
        <w:tab/>
        <w:t>005</w:t>
      </w:r>
      <w:r w:rsidRPr="008C1C9F">
        <w:rPr>
          <w:rFonts w:eastAsia="Times New Roman" w:cs="Arial"/>
          <w:color w:val="000000"/>
          <w:lang w:val="en-GB" w:eastAsia="en-US"/>
        </w:rPr>
        <w:tab/>
      </w:r>
      <w:r w:rsidRPr="008C1C9F">
        <w:rPr>
          <w:rFonts w:eastAsia="Times New Roman" w:cs="Arial"/>
          <w:color w:val="000000"/>
          <w:lang w:val="en-GB" w:eastAsia="en-US"/>
        </w:rPr>
        <w:tab/>
      </w:r>
      <w:r w:rsidR="00E62DD0" w:rsidRPr="008C1C9F">
        <w:rPr>
          <w:rFonts w:eastAsia="Times New Roman" w:cs="Arial"/>
          <w:color w:val="000000"/>
          <w:lang w:val="en-GB" w:eastAsia="en-US"/>
        </w:rPr>
        <w:t>February 2009</w:t>
      </w:r>
      <w:r w:rsidR="00E62DD0" w:rsidRPr="008C1C9F">
        <w:rPr>
          <w:rFonts w:eastAsia="Times New Roman" w:cs="Arial"/>
          <w:color w:val="000000"/>
          <w:lang w:val="en-GB" w:eastAsia="en-US"/>
        </w:rPr>
        <w:tab/>
        <w:t>Update of entire document</w:t>
      </w:r>
    </w:p>
    <w:p w:rsidR="00E62DD0" w:rsidRPr="008C1C9F" w:rsidRDefault="00647B31" w:rsidP="00647B31">
      <w:pPr>
        <w:tabs>
          <w:tab w:val="left" w:pos="270"/>
          <w:tab w:val="left" w:pos="720"/>
          <w:tab w:val="left" w:pos="1080"/>
          <w:tab w:val="left" w:pos="1418"/>
          <w:tab w:val="left" w:pos="3150"/>
        </w:tabs>
        <w:spacing w:after="0" w:line="240" w:lineRule="auto"/>
        <w:ind w:right="-1"/>
        <w:rPr>
          <w:rFonts w:eastAsia="Times New Roman" w:cs="Arial"/>
          <w:color w:val="000000"/>
          <w:lang w:val="en-GB" w:eastAsia="en-US"/>
        </w:rPr>
      </w:pPr>
      <w:r w:rsidRPr="008C1C9F">
        <w:rPr>
          <w:rFonts w:eastAsia="Times New Roman" w:cs="Arial"/>
          <w:color w:val="000000"/>
          <w:lang w:val="en-GB" w:eastAsia="en-US"/>
        </w:rPr>
        <w:tab/>
        <w:t>006</w:t>
      </w:r>
      <w:r w:rsidRPr="008C1C9F">
        <w:rPr>
          <w:rFonts w:eastAsia="Times New Roman" w:cs="Arial"/>
          <w:color w:val="000000"/>
          <w:lang w:val="en-GB" w:eastAsia="en-US"/>
        </w:rPr>
        <w:tab/>
      </w:r>
      <w:r w:rsidRPr="008C1C9F">
        <w:rPr>
          <w:rFonts w:eastAsia="Times New Roman" w:cs="Arial"/>
          <w:color w:val="000000"/>
          <w:lang w:val="en-GB" w:eastAsia="en-US"/>
        </w:rPr>
        <w:tab/>
      </w:r>
      <w:r w:rsidR="00E62DD0" w:rsidRPr="008C1C9F">
        <w:rPr>
          <w:rFonts w:eastAsia="Times New Roman" w:cs="Arial"/>
          <w:color w:val="000000"/>
          <w:lang w:val="en-GB" w:eastAsia="en-US"/>
        </w:rPr>
        <w:t xml:space="preserve">June 2010 </w:t>
      </w:r>
      <w:r w:rsidR="00E62DD0" w:rsidRPr="008C1C9F">
        <w:rPr>
          <w:rFonts w:eastAsia="Times New Roman" w:cs="Arial"/>
          <w:color w:val="000000"/>
          <w:lang w:val="en-GB" w:eastAsia="en-US"/>
        </w:rPr>
        <w:tab/>
        <w:t>Editing</w:t>
      </w:r>
    </w:p>
    <w:p w:rsidR="00E62DD0" w:rsidRPr="008C1C9F" w:rsidRDefault="00647B31" w:rsidP="00647B31">
      <w:pPr>
        <w:tabs>
          <w:tab w:val="left" w:pos="270"/>
          <w:tab w:val="left" w:pos="720"/>
          <w:tab w:val="left" w:pos="1080"/>
          <w:tab w:val="left" w:pos="1418"/>
          <w:tab w:val="left" w:pos="3150"/>
        </w:tabs>
        <w:spacing w:after="0" w:line="240" w:lineRule="auto"/>
        <w:ind w:right="-1"/>
        <w:rPr>
          <w:rFonts w:eastAsia="Times New Roman" w:cs="Arial"/>
          <w:color w:val="000000"/>
          <w:lang w:val="en-GB" w:eastAsia="en-US"/>
        </w:rPr>
      </w:pPr>
      <w:r w:rsidRPr="008C1C9F">
        <w:rPr>
          <w:rFonts w:eastAsia="Times New Roman" w:cs="Arial"/>
          <w:color w:val="000000"/>
          <w:lang w:val="en-GB" w:eastAsia="en-US"/>
        </w:rPr>
        <w:tab/>
        <w:t>007</w:t>
      </w:r>
      <w:r w:rsidRPr="008C1C9F">
        <w:rPr>
          <w:rFonts w:eastAsia="Times New Roman" w:cs="Arial"/>
          <w:color w:val="000000"/>
          <w:lang w:val="en-GB" w:eastAsia="en-US"/>
        </w:rPr>
        <w:tab/>
      </w:r>
      <w:r w:rsidRPr="008C1C9F">
        <w:rPr>
          <w:rFonts w:eastAsia="Times New Roman" w:cs="Arial"/>
          <w:color w:val="000000"/>
          <w:lang w:val="en-GB" w:eastAsia="en-US"/>
        </w:rPr>
        <w:tab/>
      </w:r>
      <w:r w:rsidR="00E62DD0" w:rsidRPr="008C1C9F">
        <w:rPr>
          <w:rFonts w:eastAsia="Times New Roman" w:cs="Arial"/>
          <w:color w:val="000000"/>
          <w:lang w:val="en-GB" w:eastAsia="en-US"/>
        </w:rPr>
        <w:t>September 2011</w:t>
      </w:r>
      <w:r w:rsidR="00E62DD0" w:rsidRPr="008C1C9F">
        <w:rPr>
          <w:rFonts w:eastAsia="Times New Roman" w:cs="Arial"/>
          <w:color w:val="000000"/>
          <w:lang w:val="en-GB" w:eastAsia="en-US"/>
        </w:rPr>
        <w:tab/>
        <w:t>Editing</w:t>
      </w:r>
    </w:p>
    <w:p w:rsidR="00E62DD0" w:rsidRPr="008C1C9F" w:rsidRDefault="00E62DD0" w:rsidP="00647B31">
      <w:pPr>
        <w:tabs>
          <w:tab w:val="left" w:pos="270"/>
          <w:tab w:val="left" w:pos="720"/>
          <w:tab w:val="left" w:pos="1080"/>
          <w:tab w:val="left" w:pos="1418"/>
          <w:tab w:val="left" w:pos="3150"/>
        </w:tabs>
        <w:spacing w:after="0" w:line="240" w:lineRule="auto"/>
        <w:ind w:left="720" w:right="26" w:hanging="720"/>
        <w:rPr>
          <w:rFonts w:eastAsia="Times New Roman" w:cs="Arial"/>
          <w:lang w:val="en-GB" w:eastAsia="en-US"/>
        </w:rPr>
      </w:pPr>
      <w:r w:rsidRPr="008C1C9F">
        <w:rPr>
          <w:rFonts w:eastAsia="Times New Roman" w:cs="Arial"/>
          <w:color w:val="000000"/>
          <w:lang w:val="en-GB" w:eastAsia="en-US"/>
        </w:rPr>
        <w:tab/>
        <w:t>008</w:t>
      </w:r>
      <w:r w:rsidRPr="008C1C9F">
        <w:rPr>
          <w:rFonts w:eastAsia="Times New Roman" w:cs="Arial"/>
          <w:color w:val="000000"/>
          <w:lang w:val="en-GB" w:eastAsia="en-US"/>
        </w:rPr>
        <w:tab/>
      </w:r>
      <w:r w:rsidRPr="008C1C9F">
        <w:rPr>
          <w:rFonts w:eastAsia="Times New Roman" w:cs="Arial"/>
          <w:color w:val="000000"/>
          <w:lang w:val="en-GB" w:eastAsia="en-US"/>
        </w:rPr>
        <w:tab/>
        <w:t>May 2012</w:t>
      </w:r>
      <w:r w:rsidRPr="008C1C9F">
        <w:rPr>
          <w:rFonts w:eastAsia="Times New Roman" w:cs="Arial"/>
          <w:color w:val="000000"/>
          <w:lang w:val="en-GB" w:eastAsia="en-US"/>
        </w:rPr>
        <w:tab/>
        <w:t>Update of categories to “</w:t>
      </w:r>
      <w:r w:rsidRPr="008C1C9F">
        <w:rPr>
          <w:rFonts w:eastAsia="Times New Roman" w:cs="Arial"/>
          <w:lang w:val="en-GB" w:eastAsia="en-US"/>
        </w:rPr>
        <w:t>Composition of Selection Boards”.</w:t>
      </w:r>
    </w:p>
    <w:p w:rsidR="00E62DD0" w:rsidRPr="008C1C9F" w:rsidRDefault="00647B31" w:rsidP="00647B31">
      <w:pPr>
        <w:tabs>
          <w:tab w:val="left" w:pos="270"/>
          <w:tab w:val="left" w:pos="720"/>
          <w:tab w:val="left" w:pos="1080"/>
          <w:tab w:val="left" w:pos="1418"/>
          <w:tab w:val="left" w:pos="3150"/>
        </w:tabs>
        <w:spacing w:after="0" w:line="240" w:lineRule="auto"/>
        <w:ind w:left="720" w:right="-1" w:hanging="720"/>
        <w:rPr>
          <w:rFonts w:eastAsia="Times New Roman" w:cs="Arial"/>
          <w:lang w:val="en-GB" w:eastAsia="en-US"/>
        </w:rPr>
      </w:pPr>
      <w:r w:rsidRPr="008C1C9F">
        <w:rPr>
          <w:rFonts w:eastAsia="Times New Roman" w:cs="Arial"/>
          <w:lang w:val="en-GB" w:eastAsia="en-US"/>
        </w:rPr>
        <w:tab/>
        <w:t>009</w:t>
      </w:r>
      <w:r w:rsidRPr="008C1C9F">
        <w:rPr>
          <w:rFonts w:eastAsia="Times New Roman" w:cs="Arial"/>
          <w:lang w:val="en-GB" w:eastAsia="en-US"/>
        </w:rPr>
        <w:tab/>
      </w:r>
      <w:r w:rsidRPr="008C1C9F">
        <w:rPr>
          <w:rFonts w:eastAsia="Times New Roman" w:cs="Arial"/>
          <w:lang w:val="en-GB" w:eastAsia="en-US"/>
        </w:rPr>
        <w:tab/>
        <w:t>October 2012</w:t>
      </w:r>
      <w:r w:rsidRPr="008C1C9F">
        <w:rPr>
          <w:rFonts w:eastAsia="Times New Roman" w:cs="Arial"/>
          <w:lang w:val="en-GB" w:eastAsia="en-US"/>
        </w:rPr>
        <w:tab/>
      </w:r>
      <w:r w:rsidR="00E62DD0" w:rsidRPr="008C1C9F">
        <w:rPr>
          <w:rFonts w:eastAsia="Times New Roman" w:cs="Arial"/>
          <w:lang w:val="en-GB" w:eastAsia="en-US"/>
        </w:rPr>
        <w:t>Chapter 3 updated appendices currently in use.</w:t>
      </w:r>
    </w:p>
    <w:p w:rsidR="00E62DD0" w:rsidRPr="008C1C9F" w:rsidRDefault="00E62DD0" w:rsidP="00647B31">
      <w:pPr>
        <w:tabs>
          <w:tab w:val="left" w:pos="270"/>
          <w:tab w:val="left" w:pos="720"/>
          <w:tab w:val="left" w:pos="1080"/>
          <w:tab w:val="left" w:pos="1418"/>
          <w:tab w:val="left" w:pos="3150"/>
        </w:tabs>
        <w:spacing w:after="0" w:line="240" w:lineRule="auto"/>
        <w:ind w:left="720" w:right="-1" w:hanging="720"/>
        <w:rPr>
          <w:rFonts w:eastAsia="Times New Roman" w:cs="Arial"/>
          <w:lang w:val="en-GB" w:eastAsia="en-US"/>
        </w:rPr>
      </w:pPr>
      <w:r w:rsidRPr="008C1C9F">
        <w:rPr>
          <w:rFonts w:eastAsia="Times New Roman" w:cs="Arial"/>
          <w:lang w:val="en-GB" w:eastAsia="en-US"/>
        </w:rPr>
        <w:tab/>
        <w:t>010</w:t>
      </w:r>
      <w:r w:rsidRPr="008C1C9F">
        <w:rPr>
          <w:rFonts w:eastAsia="Times New Roman" w:cs="Arial"/>
          <w:lang w:val="en-GB" w:eastAsia="en-US"/>
        </w:rPr>
        <w:tab/>
      </w:r>
      <w:r w:rsidRPr="008C1C9F">
        <w:rPr>
          <w:rFonts w:eastAsia="Times New Roman" w:cs="Arial"/>
          <w:lang w:val="en-GB" w:eastAsia="en-US"/>
        </w:rPr>
        <w:tab/>
        <w:t>February 2013</w:t>
      </w:r>
      <w:r w:rsidRPr="008C1C9F">
        <w:rPr>
          <w:rFonts w:eastAsia="Times New Roman" w:cs="Arial"/>
          <w:lang w:val="en-GB" w:eastAsia="en-US"/>
        </w:rPr>
        <w:tab/>
        <w:t>Chapter 2 and 4 Complete Revision</w:t>
      </w:r>
    </w:p>
    <w:p w:rsidR="00647B31" w:rsidRPr="008C1C9F" w:rsidRDefault="00647B31" w:rsidP="00647B31">
      <w:pPr>
        <w:tabs>
          <w:tab w:val="left" w:pos="270"/>
          <w:tab w:val="left" w:pos="720"/>
          <w:tab w:val="left" w:pos="1080"/>
          <w:tab w:val="left" w:pos="1418"/>
          <w:tab w:val="left" w:pos="3150"/>
        </w:tabs>
        <w:spacing w:after="0" w:line="240" w:lineRule="auto"/>
        <w:ind w:left="1080" w:right="-1" w:hanging="1080"/>
        <w:rPr>
          <w:rFonts w:eastAsia="Times New Roman" w:cs="Arial"/>
          <w:lang w:val="en-GB" w:eastAsia="en-US"/>
        </w:rPr>
      </w:pPr>
      <w:r w:rsidRPr="008C1C9F">
        <w:rPr>
          <w:rFonts w:eastAsia="Times New Roman" w:cs="Arial"/>
          <w:lang w:val="en-GB" w:eastAsia="en-US"/>
        </w:rPr>
        <w:tab/>
        <w:t>011</w:t>
      </w:r>
      <w:r w:rsidRPr="008C1C9F">
        <w:rPr>
          <w:rFonts w:eastAsia="Times New Roman" w:cs="Arial"/>
          <w:lang w:val="en-GB" w:eastAsia="en-US"/>
        </w:rPr>
        <w:tab/>
      </w:r>
      <w:r w:rsidRPr="008C1C9F">
        <w:rPr>
          <w:rFonts w:eastAsia="Times New Roman" w:cs="Arial"/>
          <w:lang w:val="en-GB" w:eastAsia="en-US"/>
        </w:rPr>
        <w:tab/>
      </w:r>
      <w:r w:rsidR="00E62DD0" w:rsidRPr="008C1C9F">
        <w:rPr>
          <w:rFonts w:eastAsia="Times New Roman" w:cs="Arial"/>
          <w:lang w:val="en-GB" w:eastAsia="en-US"/>
        </w:rPr>
        <w:t>4 December 2013</w:t>
      </w:r>
      <w:r w:rsidR="00E62DD0" w:rsidRPr="008C1C9F">
        <w:rPr>
          <w:rFonts w:eastAsia="Times New Roman" w:cs="Arial"/>
          <w:lang w:val="en-GB" w:eastAsia="en-US"/>
        </w:rPr>
        <w:tab/>
        <w:t xml:space="preserve">Appendix 2.4 EAP 4. 7.2 request Module </w:t>
      </w:r>
      <w:r w:rsidRPr="008C1C9F">
        <w:rPr>
          <w:rFonts w:eastAsia="Times New Roman" w:cs="Arial"/>
          <w:lang w:val="en-GB" w:eastAsia="en-US"/>
        </w:rPr>
        <w:t>descriptor; Insert</w:t>
      </w:r>
    </w:p>
    <w:p w:rsidR="00E62DD0" w:rsidRPr="008C1C9F" w:rsidRDefault="00647B31" w:rsidP="004147FC">
      <w:pPr>
        <w:tabs>
          <w:tab w:val="left" w:pos="270"/>
          <w:tab w:val="left" w:pos="720"/>
          <w:tab w:val="left" w:pos="1080"/>
          <w:tab w:val="left" w:pos="1418"/>
          <w:tab w:val="left" w:pos="3150"/>
        </w:tabs>
        <w:spacing w:after="0" w:line="240" w:lineRule="auto"/>
        <w:ind w:left="3154" w:hanging="3154"/>
        <w:rPr>
          <w:rFonts w:eastAsia="Times New Roman" w:cs="Arial"/>
          <w:lang w:val="en-GB" w:eastAsia="en-US"/>
        </w:rPr>
      </w:pPr>
      <w:r w:rsidRPr="008C1C9F">
        <w:rPr>
          <w:rFonts w:eastAsia="Times New Roman" w:cs="Arial"/>
          <w:lang w:val="en-GB" w:eastAsia="en-US"/>
        </w:rPr>
        <w:tab/>
      </w:r>
      <w:r w:rsidR="00E62DD0" w:rsidRPr="008C1C9F">
        <w:rPr>
          <w:rFonts w:eastAsia="Times New Roman" w:cs="Arial"/>
          <w:lang w:val="en-GB" w:eastAsia="en-US"/>
        </w:rPr>
        <w:t xml:space="preserve">Q 9 </w:t>
      </w:r>
      <w:r w:rsidR="00E62DD0" w:rsidRPr="008C1C9F">
        <w:rPr>
          <w:rFonts w:eastAsia="Times New Roman" w:cs="Arial"/>
          <w:lang w:val="en-GB" w:eastAsia="en-US"/>
        </w:rPr>
        <w:tab/>
      </w:r>
      <w:r w:rsidR="00E62DD0" w:rsidRPr="008C1C9F">
        <w:rPr>
          <w:rFonts w:eastAsia="Times New Roman" w:cs="Arial"/>
          <w:lang w:val="en-GB" w:eastAsia="en-US"/>
        </w:rPr>
        <w:tab/>
      </w:r>
      <w:r w:rsidRPr="008C1C9F">
        <w:rPr>
          <w:rFonts w:eastAsia="Times New Roman" w:cs="Arial"/>
          <w:lang w:val="en-GB" w:eastAsia="en-US"/>
        </w:rPr>
        <w:tab/>
      </w:r>
      <w:r w:rsidRPr="008C1C9F">
        <w:rPr>
          <w:rFonts w:eastAsia="Times New Roman" w:cs="Arial"/>
          <w:lang w:val="en-GB" w:eastAsia="en-US"/>
        </w:rPr>
        <w:tab/>
      </w:r>
      <w:r w:rsidR="00E62DD0" w:rsidRPr="008C1C9F">
        <w:rPr>
          <w:rFonts w:eastAsia="Times New Roman" w:cs="Arial"/>
          <w:lang w:val="en-GB" w:eastAsia="en-US"/>
        </w:rPr>
        <w:t>Will the programme learning</w:t>
      </w:r>
      <w:r w:rsidRPr="008C1C9F">
        <w:rPr>
          <w:rFonts w:eastAsia="Times New Roman" w:cs="Arial"/>
          <w:lang w:val="en-GB" w:eastAsia="en-US"/>
        </w:rPr>
        <w:t xml:space="preserve"> outcomes change as a result of the </w:t>
      </w:r>
      <w:r w:rsidR="00E62DD0" w:rsidRPr="008C1C9F">
        <w:rPr>
          <w:rFonts w:eastAsia="Times New Roman" w:cs="Arial"/>
          <w:lang w:val="en-GB" w:eastAsia="en-US"/>
        </w:rPr>
        <w:t xml:space="preserve">proposed module or programme </w:t>
      </w:r>
      <w:r w:rsidRPr="008C1C9F">
        <w:rPr>
          <w:rFonts w:eastAsia="Times New Roman" w:cs="Arial"/>
          <w:lang w:val="en-GB" w:eastAsia="en-US"/>
        </w:rPr>
        <w:t xml:space="preserve">modifications.  If yes, please </w:t>
      </w:r>
      <w:r w:rsidR="00E62DD0" w:rsidRPr="008C1C9F">
        <w:rPr>
          <w:rFonts w:eastAsia="Times New Roman" w:cs="Arial"/>
          <w:lang w:val="en-GB" w:eastAsia="en-US"/>
        </w:rPr>
        <w:t>outline the changes, as this may require a panel visit.  (P&amp;C)</w:t>
      </w:r>
    </w:p>
    <w:p w:rsidR="00657F0A" w:rsidRPr="008C1C9F" w:rsidRDefault="00657F0A" w:rsidP="00657F0A">
      <w:pPr>
        <w:tabs>
          <w:tab w:val="left" w:pos="270"/>
          <w:tab w:val="left" w:pos="720"/>
          <w:tab w:val="left" w:pos="1080"/>
          <w:tab w:val="left" w:pos="1418"/>
          <w:tab w:val="left" w:pos="3150"/>
        </w:tabs>
        <w:spacing w:after="0" w:line="240" w:lineRule="auto"/>
        <w:ind w:left="3150" w:right="-1" w:hanging="3150"/>
        <w:rPr>
          <w:rFonts w:eastAsia="Times New Roman" w:cs="Arial"/>
          <w:lang w:val="en-GB" w:eastAsia="en-US"/>
        </w:rPr>
      </w:pPr>
      <w:r w:rsidRPr="008C1C9F">
        <w:rPr>
          <w:rFonts w:eastAsia="Times New Roman" w:cs="Arial"/>
          <w:lang w:val="en-GB" w:eastAsia="en-US"/>
        </w:rPr>
        <w:tab/>
        <w:t>012</w:t>
      </w:r>
      <w:r w:rsidRPr="008C1C9F">
        <w:rPr>
          <w:rFonts w:eastAsia="Times New Roman" w:cs="Arial"/>
          <w:lang w:val="en-GB" w:eastAsia="en-US"/>
        </w:rPr>
        <w:tab/>
      </w:r>
      <w:r w:rsidRPr="008C1C9F">
        <w:rPr>
          <w:rFonts w:eastAsia="Times New Roman" w:cs="Arial"/>
          <w:lang w:val="en-GB" w:eastAsia="en-US"/>
        </w:rPr>
        <w:tab/>
        <w:t>March 2015</w:t>
      </w:r>
      <w:r w:rsidRPr="008C1C9F">
        <w:rPr>
          <w:rFonts w:eastAsia="Times New Roman" w:cs="Arial"/>
          <w:lang w:val="en-GB" w:eastAsia="en-US"/>
        </w:rPr>
        <w:tab/>
        <w:t>Amendment to Section 4.6.2 to include Senior Lecturers as ex officio members of School Policy Committee</w:t>
      </w:r>
    </w:p>
    <w:p w:rsidR="00E62DD0" w:rsidRDefault="00CC6292" w:rsidP="00657F0A">
      <w:pPr>
        <w:tabs>
          <w:tab w:val="left" w:pos="270"/>
          <w:tab w:val="left" w:pos="720"/>
          <w:tab w:val="left" w:pos="1080"/>
          <w:tab w:val="left" w:pos="1418"/>
          <w:tab w:val="left" w:pos="3150"/>
        </w:tabs>
        <w:spacing w:after="0" w:line="240" w:lineRule="auto"/>
        <w:ind w:left="3150" w:right="-1" w:hanging="3150"/>
        <w:rPr>
          <w:rFonts w:eastAsia="Times New Roman" w:cs="Arial"/>
          <w:lang w:val="en-GB" w:eastAsia="en-US"/>
        </w:rPr>
      </w:pPr>
      <w:r w:rsidRPr="008C1C9F">
        <w:rPr>
          <w:rFonts w:eastAsia="Times New Roman" w:cs="Arial"/>
          <w:lang w:val="en-GB" w:eastAsia="en-US"/>
        </w:rPr>
        <w:tab/>
      </w:r>
      <w:r w:rsidR="0074238E">
        <w:rPr>
          <w:rFonts w:eastAsia="Times New Roman" w:cs="Arial"/>
          <w:lang w:val="en-GB" w:eastAsia="en-US"/>
        </w:rPr>
        <w:t>013</w:t>
      </w:r>
      <w:r w:rsidR="0074238E">
        <w:rPr>
          <w:rFonts w:eastAsia="Times New Roman" w:cs="Arial"/>
          <w:lang w:val="en-GB" w:eastAsia="en-US"/>
        </w:rPr>
        <w:tab/>
      </w:r>
      <w:r w:rsidR="0074238E">
        <w:rPr>
          <w:rFonts w:eastAsia="Times New Roman" w:cs="Arial"/>
          <w:lang w:val="en-GB" w:eastAsia="en-US"/>
        </w:rPr>
        <w:tab/>
        <w:t>April 2016</w:t>
      </w:r>
      <w:r w:rsidR="00E62DD0" w:rsidRPr="008C1C9F">
        <w:rPr>
          <w:rFonts w:eastAsia="Times New Roman" w:cs="Arial"/>
          <w:lang w:val="en-GB" w:eastAsia="en-US"/>
        </w:rPr>
        <w:tab/>
        <w:t>Format revamp. Incorporation of external QA report</w:t>
      </w:r>
      <w:r w:rsidR="00657F0A" w:rsidRPr="008C1C9F">
        <w:rPr>
          <w:rFonts w:eastAsia="Times New Roman" w:cs="Arial"/>
          <w:lang w:val="en-GB" w:eastAsia="en-US"/>
        </w:rPr>
        <w:t xml:space="preserve"> </w:t>
      </w:r>
      <w:r w:rsidRPr="008C1C9F">
        <w:rPr>
          <w:rFonts w:eastAsia="Times New Roman" w:cs="Arial"/>
          <w:lang w:val="en-GB" w:eastAsia="en-US"/>
        </w:rPr>
        <w:t>recommendations</w:t>
      </w:r>
      <w:r w:rsidR="00E62DD0" w:rsidRPr="008C1C9F">
        <w:rPr>
          <w:rFonts w:eastAsia="Times New Roman" w:cs="Arial"/>
          <w:lang w:val="en-GB" w:eastAsia="en-US"/>
        </w:rPr>
        <w:t xml:space="preserve">. Update on legislation and </w:t>
      </w:r>
      <w:r w:rsidRPr="008C1C9F">
        <w:rPr>
          <w:rFonts w:eastAsia="Times New Roman" w:cs="Arial"/>
          <w:lang w:val="en-GB" w:eastAsia="en-US"/>
        </w:rPr>
        <w:t>statutory bodies.</w:t>
      </w:r>
    </w:p>
    <w:p w:rsidR="005F0CF7" w:rsidRPr="008C1C9F" w:rsidRDefault="005F0CF7" w:rsidP="00657F0A">
      <w:pPr>
        <w:tabs>
          <w:tab w:val="left" w:pos="270"/>
          <w:tab w:val="left" w:pos="720"/>
          <w:tab w:val="left" w:pos="1080"/>
          <w:tab w:val="left" w:pos="1418"/>
          <w:tab w:val="left" w:pos="3150"/>
        </w:tabs>
        <w:spacing w:after="0" w:line="240" w:lineRule="auto"/>
        <w:ind w:left="3150" w:right="-1" w:hanging="3150"/>
        <w:rPr>
          <w:rFonts w:eastAsia="Times New Roman" w:cs="Arial"/>
          <w:lang w:val="en-GB" w:eastAsia="en-US"/>
        </w:rPr>
      </w:pPr>
      <w:r>
        <w:rPr>
          <w:rFonts w:eastAsia="Times New Roman" w:cs="Arial"/>
          <w:lang w:val="en-GB" w:eastAsia="en-US"/>
        </w:rPr>
        <w:tab/>
        <w:t xml:space="preserve">014 </w:t>
      </w:r>
      <w:r>
        <w:rPr>
          <w:rFonts w:eastAsia="Times New Roman" w:cs="Arial"/>
          <w:lang w:val="en-GB" w:eastAsia="en-US"/>
        </w:rPr>
        <w:tab/>
      </w:r>
      <w:r>
        <w:rPr>
          <w:rFonts w:eastAsia="Times New Roman" w:cs="Arial"/>
          <w:lang w:val="en-GB" w:eastAsia="en-US"/>
        </w:rPr>
        <w:tab/>
        <w:t xml:space="preserve">Jan 17 </w:t>
      </w:r>
      <w:r>
        <w:rPr>
          <w:rFonts w:eastAsia="Times New Roman" w:cs="Arial"/>
          <w:lang w:val="en-GB" w:eastAsia="en-US"/>
        </w:rPr>
        <w:tab/>
        <w:t xml:space="preserve">Updating for online version with links </w:t>
      </w:r>
    </w:p>
    <w:p w:rsidR="009570BA" w:rsidRDefault="009570BA" w:rsidP="007C0A76">
      <w:pPr>
        <w:pStyle w:val="Heading1"/>
      </w:pPr>
      <w:r w:rsidRPr="005E496A">
        <w:lastRenderedPageBreak/>
        <w:t>I</w:t>
      </w:r>
      <w:bookmarkEnd w:id="0"/>
      <w:bookmarkEnd w:id="1"/>
      <w:r w:rsidR="007E3E8D">
        <w:t>ntroduction</w:t>
      </w:r>
    </w:p>
    <w:p w:rsidR="009570BA" w:rsidRPr="004F1625" w:rsidRDefault="009570BA" w:rsidP="005500D6">
      <w:pPr>
        <w:spacing w:beforeLines="120" w:before="288"/>
        <w:contextualSpacing/>
        <w:rPr>
          <w:color w:val="000000"/>
        </w:rPr>
      </w:pPr>
      <w:r w:rsidRPr="004F1625">
        <w:rPr>
          <w:color w:val="000000"/>
        </w:rPr>
        <w:t>The achievement of academic excellence is a complex process involving all staff members and students of the Institute.  The active co-operation of members acting in concert is necessary to ensure excellence and the support and encouragement of the Institute’s stakeholders helps to achieve the goal of quality.  The physical environment, buildings, grounds, facilities, library, information technology, equipment and student support services also contribute significantly towards achieving academic excellence.  The Institute recognises that ownership of quality mechanisms and working practices must be shared among those directly involved.  An indispensable characteristic of quality is the desire to continually review work practices and procedures and so ensure that the aims and objectives of academic programmes are optimised with respect to the mission and strategy of the Institute.  In the final analysis however, quality assurance is dependent on students and individual staff members working in unison to the highest possible standard under the guidance of the Academic Council and with the support and encouragement of the external environment such as the</w:t>
      </w:r>
      <w:r w:rsidR="00CC6292">
        <w:rPr>
          <w:color w:val="000000"/>
        </w:rPr>
        <w:t xml:space="preserve"> QQI,</w:t>
      </w:r>
      <w:r w:rsidRPr="004F1625">
        <w:rPr>
          <w:color w:val="000000"/>
        </w:rPr>
        <w:t xml:space="preserve"> DOES, HEA, business and professional bodies. </w:t>
      </w:r>
    </w:p>
    <w:p w:rsidR="009570BA" w:rsidRPr="004F1625" w:rsidRDefault="009570BA" w:rsidP="007E3E8D">
      <w:pPr>
        <w:pStyle w:val="Heading1"/>
      </w:pPr>
      <w:r w:rsidRPr="004F1625">
        <w:t>Quality documentation in the Institute</w:t>
      </w:r>
    </w:p>
    <w:p w:rsidR="009570BA" w:rsidRPr="009B595B" w:rsidRDefault="009570BA" w:rsidP="005500D6">
      <w:pPr>
        <w:spacing w:beforeLines="120" w:before="288"/>
        <w:contextualSpacing/>
        <w:rPr>
          <w:rStyle w:val="IntenseReference"/>
        </w:rPr>
      </w:pPr>
      <w:r w:rsidRPr="004F1625">
        <w:rPr>
          <w:rFonts w:cs="Arial"/>
          <w:color w:val="000000"/>
        </w:rPr>
        <w:t xml:space="preserve">This document describes the academic procedures and work </w:t>
      </w:r>
      <w:r>
        <w:rPr>
          <w:rFonts w:cs="Arial"/>
          <w:color w:val="000000"/>
        </w:rPr>
        <w:t xml:space="preserve">practices used in the Institute.  </w:t>
      </w:r>
      <w:r w:rsidRPr="004F1625">
        <w:rPr>
          <w:rFonts w:cs="Arial"/>
          <w:color w:val="000000"/>
        </w:rPr>
        <w:t xml:space="preserve">These procedures are not written in stone; rather they are dynamic and are subject to improvement and modification in the light of experience and practice. </w:t>
      </w:r>
      <w:r>
        <w:rPr>
          <w:rFonts w:cs="Arial"/>
          <w:color w:val="000000"/>
        </w:rPr>
        <w:t xml:space="preserve"> </w:t>
      </w:r>
      <w:r w:rsidRPr="004F1625">
        <w:rPr>
          <w:rFonts w:cs="Arial"/>
          <w:color w:val="000000"/>
        </w:rPr>
        <w:t xml:space="preserve">Through </w:t>
      </w:r>
      <w:r>
        <w:rPr>
          <w:rFonts w:cs="Arial"/>
          <w:color w:val="000000"/>
        </w:rPr>
        <w:t xml:space="preserve">agreed mechanisms committees of the Academic Council, update policy and procedure.  </w:t>
      </w:r>
      <w:r w:rsidR="00777C81">
        <w:rPr>
          <w:rFonts w:cs="Arial"/>
          <w:color w:val="000000"/>
        </w:rPr>
        <w:t xml:space="preserve"> The institute has a </w:t>
      </w:r>
      <w:hyperlink r:id="rId15" w:history="1">
        <w:r w:rsidR="00D7212B" w:rsidRPr="00046B9E">
          <w:rPr>
            <w:rStyle w:val="Hyperlink"/>
            <w:spacing w:val="5"/>
          </w:rPr>
          <w:t>Document Manual</w:t>
        </w:r>
        <w:r w:rsidR="00E623BF" w:rsidRPr="00046B9E">
          <w:rPr>
            <w:rStyle w:val="Hyperlink"/>
            <w:spacing w:val="5"/>
          </w:rPr>
          <w:t>.</w:t>
        </w:r>
      </w:hyperlink>
    </w:p>
    <w:p w:rsidR="009570BA" w:rsidRPr="007C0A76" w:rsidRDefault="009570BA" w:rsidP="007E3E8D">
      <w:pPr>
        <w:pStyle w:val="Heading1"/>
      </w:pPr>
      <w:r w:rsidRPr="007C0A76">
        <w:t>Currency of the QA Manual</w:t>
      </w:r>
    </w:p>
    <w:p w:rsidR="009570BA" w:rsidRDefault="009570BA" w:rsidP="005500D6">
      <w:pPr>
        <w:spacing w:beforeLines="120" w:before="288"/>
        <w:ind w:right="-1"/>
        <w:contextualSpacing/>
        <w:rPr>
          <w:rFonts w:cs="Arial"/>
          <w:color w:val="000000"/>
          <w:lang w:val="en-GB"/>
        </w:rPr>
      </w:pPr>
      <w:r w:rsidRPr="00FD7CC4">
        <w:rPr>
          <w:rFonts w:cs="Arial"/>
          <w:color w:val="000000"/>
          <w:lang w:val="en-GB"/>
        </w:rPr>
        <w:t xml:space="preserve">The published electronic manual located </w:t>
      </w:r>
      <w:r w:rsidR="00CC6292">
        <w:rPr>
          <w:rFonts w:cs="Arial"/>
          <w:color w:val="000000"/>
          <w:lang w:val="en-GB"/>
        </w:rPr>
        <w:t xml:space="preserve">on </w:t>
      </w:r>
      <w:r w:rsidRPr="00FD7CC4">
        <w:rPr>
          <w:rFonts w:cs="Arial"/>
          <w:color w:val="000000"/>
          <w:lang w:val="en-GB"/>
        </w:rPr>
        <w:t>the Institute’s website is the current approved suite of Quality Assurance and improvement procedures in operation in the Institute. New policies and procedures only become active after they are formerly approved and published on this site. Legacy policy and procedure is removed and archived</w:t>
      </w:r>
      <w:r w:rsidR="00362DB4">
        <w:rPr>
          <w:rFonts w:cs="Arial"/>
          <w:color w:val="000000"/>
          <w:lang w:val="en-GB"/>
        </w:rPr>
        <w:t xml:space="preserve">. </w:t>
      </w:r>
      <w:r w:rsidRPr="00FD7CC4">
        <w:rPr>
          <w:rFonts w:cs="Arial"/>
          <w:color w:val="000000"/>
          <w:lang w:val="en-GB"/>
        </w:rPr>
        <w:t>All hard copy versions of the QA manual are subordinate to this published document. In the case of disputes the relevant policy and procedure is that published on this site. Where a dispute is of historical nature the relevant policy and procedure is either that published on this site or the relevant policy and procedure for that time stored in the Quality Assurance archive file.</w:t>
      </w:r>
    </w:p>
    <w:p w:rsidR="007C0A76" w:rsidRDefault="007C0A76" w:rsidP="005500D6">
      <w:pPr>
        <w:spacing w:beforeLines="120" w:before="288"/>
        <w:contextualSpacing/>
        <w:rPr>
          <w:rFonts w:cs="Arial"/>
          <w:color w:val="000000"/>
          <w:lang w:val="en-GB"/>
        </w:rPr>
      </w:pPr>
      <w:r w:rsidRPr="007C0A76">
        <w:rPr>
          <w:rFonts w:cs="Arial"/>
          <w:color w:val="000000"/>
          <w:lang w:val="en-GB"/>
        </w:rPr>
        <w:t>All procedures, either new or modified, are then channelled through the document controller, who at present is the Registrar.  The document controller is responsible for ensuring that the procedures are posted on the Institute Website as soon as they are approved and that redundant policy and procedure is archived.</w:t>
      </w:r>
      <w:r>
        <w:rPr>
          <w:rFonts w:cs="Arial"/>
          <w:color w:val="000000"/>
          <w:lang w:val="en-GB"/>
        </w:rPr>
        <w:t xml:space="preserve"> </w:t>
      </w:r>
      <w:r w:rsidRPr="004F1625">
        <w:rPr>
          <w:rFonts w:cs="Arial"/>
          <w:color w:val="000000"/>
        </w:rPr>
        <w:t>Institute staff have read-only access to these procedures.</w:t>
      </w:r>
    </w:p>
    <w:p w:rsidR="007E3E8D" w:rsidRDefault="009570BA" w:rsidP="005500D6">
      <w:pPr>
        <w:spacing w:beforeLines="120" w:before="288"/>
        <w:contextualSpacing/>
        <w:rPr>
          <w:rFonts w:cs="Arial"/>
          <w:color w:val="000000"/>
        </w:rPr>
      </w:pPr>
      <w:r w:rsidRPr="00FD7CC4">
        <w:rPr>
          <w:rFonts w:cs="Arial"/>
          <w:color w:val="000000"/>
        </w:rPr>
        <w:t>As part of the Institute’s quality improvement process, any member of the institute may propose a change in policy and/or procedure (reference template and procedure for review and adoption). In all situations where procedures have become redundant then such procedures will be formally revoked and archived</w:t>
      </w:r>
      <w:r>
        <w:rPr>
          <w:rFonts w:cs="Arial"/>
          <w:color w:val="000000"/>
        </w:rPr>
        <w:t>.</w:t>
      </w:r>
    </w:p>
    <w:p w:rsidR="007E3E8D" w:rsidRDefault="007E3E8D" w:rsidP="009570BA">
      <w:pPr>
        <w:spacing w:before="120"/>
        <w:ind w:right="-1"/>
        <w:rPr>
          <w:rFonts w:cs="Arial"/>
          <w:color w:val="000000"/>
        </w:rPr>
      </w:pPr>
    </w:p>
    <w:p w:rsidR="00310849" w:rsidRDefault="009570BA" w:rsidP="007E3E8D">
      <w:pPr>
        <w:pStyle w:val="Heading1"/>
      </w:pPr>
      <w:bookmarkStart w:id="3" w:name="_Toc72755372"/>
      <w:bookmarkStart w:id="4" w:name="_Toc72761565"/>
      <w:bookmarkStart w:id="5" w:name="_Toc72765013"/>
      <w:bookmarkStart w:id="6" w:name="_Toc72812245"/>
      <w:r w:rsidRPr="004F1625">
        <w:lastRenderedPageBreak/>
        <w:t>Glossary of Acronyms</w:t>
      </w:r>
      <w:bookmarkEnd w:id="3"/>
      <w:bookmarkEnd w:id="4"/>
      <w:bookmarkEnd w:id="5"/>
      <w:bookmarkEnd w:id="6"/>
    </w:p>
    <w:tbl>
      <w:tblPr>
        <w:tblStyle w:val="TableGrid"/>
        <w:tblpPr w:leftFromText="180" w:rightFromText="180" w:vertAnchor="page" w:horzAnchor="margin" w:tblpY="2221"/>
        <w:tblW w:w="9579" w:type="dxa"/>
        <w:tblLook w:val="04A0" w:firstRow="1" w:lastRow="0" w:firstColumn="1" w:lastColumn="0" w:noHBand="0" w:noVBand="1"/>
      </w:tblPr>
      <w:tblGrid>
        <w:gridCol w:w="1040"/>
        <w:gridCol w:w="5474"/>
        <w:gridCol w:w="3065"/>
      </w:tblGrid>
      <w:tr w:rsidR="007E3E8D" w:rsidTr="00243C88">
        <w:trPr>
          <w:trHeight w:val="432"/>
        </w:trPr>
        <w:tc>
          <w:tcPr>
            <w:tcW w:w="918" w:type="dxa"/>
            <w:vAlign w:val="center"/>
          </w:tcPr>
          <w:p w:rsidR="007E3E8D" w:rsidRPr="00B51564" w:rsidRDefault="007E3E8D" w:rsidP="00243C88">
            <w:pPr>
              <w:ind w:right="-1"/>
              <w:rPr>
                <w:rFonts w:cs="Arial"/>
                <w:b/>
                <w:color w:val="548DD4" w:themeColor="text2" w:themeTint="99"/>
              </w:rPr>
            </w:pPr>
            <w:r w:rsidRPr="00B51564">
              <w:rPr>
                <w:rFonts w:cs="Arial"/>
                <w:b/>
                <w:color w:val="548DD4" w:themeColor="text2" w:themeTint="99"/>
              </w:rPr>
              <w:t>Acronym</w:t>
            </w:r>
          </w:p>
        </w:tc>
        <w:tc>
          <w:tcPr>
            <w:tcW w:w="5580" w:type="dxa"/>
            <w:vAlign w:val="center"/>
          </w:tcPr>
          <w:p w:rsidR="007E3E8D" w:rsidRPr="00B51564" w:rsidRDefault="007E3E8D" w:rsidP="00243C88">
            <w:pPr>
              <w:ind w:right="-1"/>
              <w:rPr>
                <w:rFonts w:cs="Arial"/>
                <w:b/>
                <w:color w:val="548DD4" w:themeColor="text2" w:themeTint="99"/>
              </w:rPr>
            </w:pPr>
            <w:r w:rsidRPr="00B51564">
              <w:rPr>
                <w:rFonts w:cs="Arial"/>
                <w:b/>
                <w:color w:val="548DD4" w:themeColor="text2" w:themeTint="99"/>
              </w:rPr>
              <w:t>Title</w:t>
            </w:r>
          </w:p>
        </w:tc>
        <w:tc>
          <w:tcPr>
            <w:tcW w:w="3081" w:type="dxa"/>
            <w:vAlign w:val="center"/>
          </w:tcPr>
          <w:p w:rsidR="007E3E8D" w:rsidRPr="00B51564" w:rsidRDefault="007E3E8D" w:rsidP="00243C88">
            <w:pPr>
              <w:ind w:right="-1"/>
              <w:rPr>
                <w:rFonts w:cs="Arial"/>
                <w:b/>
                <w:color w:val="548DD4" w:themeColor="text2" w:themeTint="99"/>
              </w:rPr>
            </w:pPr>
            <w:r w:rsidRPr="00B51564">
              <w:rPr>
                <w:rFonts w:cs="Arial"/>
                <w:b/>
                <w:color w:val="548DD4" w:themeColor="text2" w:themeTint="99"/>
              </w:rPr>
              <w:t>Website</w:t>
            </w: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AC</w:t>
            </w:r>
          </w:p>
        </w:tc>
        <w:tc>
          <w:tcPr>
            <w:tcW w:w="5580" w:type="dxa"/>
            <w:vAlign w:val="center"/>
          </w:tcPr>
          <w:p w:rsidR="007E3E8D" w:rsidRPr="00EB3654" w:rsidRDefault="007E3E8D" w:rsidP="00243C88">
            <w:pPr>
              <w:ind w:right="-1"/>
              <w:rPr>
                <w:rFonts w:cs="Arial"/>
                <w:color w:val="000000"/>
              </w:rPr>
            </w:pPr>
            <w:r w:rsidRPr="00EB3654">
              <w:rPr>
                <w:rFonts w:cs="Arial"/>
                <w:color w:val="000000"/>
              </w:rPr>
              <w:t>Academic Council</w:t>
            </w:r>
          </w:p>
        </w:tc>
        <w:tc>
          <w:tcPr>
            <w:tcW w:w="3081" w:type="dxa"/>
            <w:vAlign w:val="center"/>
          </w:tcPr>
          <w:p w:rsidR="007E3E8D" w:rsidRPr="00EB3654" w:rsidRDefault="007E3E8D" w:rsidP="00243C88">
            <w:pPr>
              <w:ind w:right="-1"/>
              <w:rPr>
                <w:rFonts w:cs="Arial"/>
                <w:color w:val="000000"/>
              </w:rPr>
            </w:pP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 xml:space="preserve">ACCS </w:t>
            </w:r>
          </w:p>
        </w:tc>
        <w:tc>
          <w:tcPr>
            <w:tcW w:w="5580" w:type="dxa"/>
            <w:vAlign w:val="center"/>
          </w:tcPr>
          <w:p w:rsidR="007E3E8D" w:rsidRPr="00EB3654" w:rsidRDefault="007E3E8D" w:rsidP="00243C88">
            <w:pPr>
              <w:ind w:right="-1"/>
              <w:rPr>
                <w:rFonts w:cs="Arial"/>
                <w:color w:val="000000"/>
              </w:rPr>
            </w:pPr>
            <w:r w:rsidRPr="00EB3654">
              <w:rPr>
                <w:rFonts w:cs="Arial"/>
                <w:color w:val="000000"/>
              </w:rPr>
              <w:t>Accumulation of Credits and Certification of Subjects Scheme</w:t>
            </w:r>
          </w:p>
        </w:tc>
        <w:tc>
          <w:tcPr>
            <w:tcW w:w="3081" w:type="dxa"/>
            <w:vAlign w:val="center"/>
          </w:tcPr>
          <w:p w:rsidR="007E3E8D" w:rsidRPr="00EB3654" w:rsidRDefault="007E3E8D" w:rsidP="00243C88">
            <w:pPr>
              <w:ind w:right="-1"/>
              <w:rPr>
                <w:rFonts w:cs="Arial"/>
                <w:color w:val="000000"/>
              </w:rPr>
            </w:pP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AGCAS</w:t>
            </w:r>
          </w:p>
        </w:tc>
        <w:tc>
          <w:tcPr>
            <w:tcW w:w="5580" w:type="dxa"/>
            <w:vAlign w:val="center"/>
          </w:tcPr>
          <w:p w:rsidR="007E3E8D" w:rsidRPr="00EB3654" w:rsidRDefault="007E3E8D" w:rsidP="00243C88">
            <w:pPr>
              <w:ind w:right="-1"/>
              <w:rPr>
                <w:rFonts w:cs="Arial"/>
                <w:color w:val="000000"/>
              </w:rPr>
            </w:pPr>
            <w:r w:rsidRPr="00EB3654">
              <w:rPr>
                <w:rFonts w:cs="Arial"/>
                <w:color w:val="000000"/>
              </w:rPr>
              <w:t>Association of Graduate Career Advisory Service</w:t>
            </w:r>
          </w:p>
        </w:tc>
        <w:tc>
          <w:tcPr>
            <w:tcW w:w="3081" w:type="dxa"/>
            <w:vAlign w:val="center"/>
          </w:tcPr>
          <w:p w:rsidR="007E3E8D" w:rsidRPr="00EB3654" w:rsidRDefault="00530D5C" w:rsidP="00243C88">
            <w:pPr>
              <w:ind w:right="-1"/>
              <w:rPr>
                <w:rFonts w:cs="Arial"/>
                <w:color w:val="000000"/>
              </w:rPr>
            </w:pPr>
            <w:hyperlink r:id="rId16" w:history="1">
              <w:r w:rsidR="007E3E8D" w:rsidRPr="0065022F">
                <w:rPr>
                  <w:rStyle w:val="Hyperlink"/>
                  <w:rFonts w:cs="Arial"/>
                </w:rPr>
                <w:t>http://www.agcas.org.uk</w:t>
              </w:r>
            </w:hyperlink>
            <w:r w:rsidR="007E3E8D">
              <w:rPr>
                <w:rFonts w:cs="Arial"/>
                <w:color w:val="000000"/>
              </w:rPr>
              <w:t xml:space="preserve"> </w:t>
            </w: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AGSCI</w:t>
            </w:r>
          </w:p>
        </w:tc>
        <w:tc>
          <w:tcPr>
            <w:tcW w:w="5580" w:type="dxa"/>
            <w:vAlign w:val="center"/>
          </w:tcPr>
          <w:p w:rsidR="007E3E8D" w:rsidRPr="00EB3654" w:rsidRDefault="007E3E8D" w:rsidP="00243C88">
            <w:pPr>
              <w:ind w:right="-1"/>
              <w:rPr>
                <w:rFonts w:cs="Arial"/>
                <w:color w:val="000000"/>
              </w:rPr>
            </w:pPr>
            <w:r w:rsidRPr="00EB3654">
              <w:rPr>
                <w:rFonts w:cs="Arial"/>
                <w:color w:val="000000"/>
              </w:rPr>
              <w:t>Association of Graduate Career Services in Ireland</w:t>
            </w:r>
          </w:p>
        </w:tc>
        <w:tc>
          <w:tcPr>
            <w:tcW w:w="3081" w:type="dxa"/>
            <w:vAlign w:val="center"/>
          </w:tcPr>
          <w:p w:rsidR="007E3E8D" w:rsidRPr="00EB3654" w:rsidRDefault="007E3E8D" w:rsidP="00243C88">
            <w:pPr>
              <w:ind w:right="-1"/>
              <w:rPr>
                <w:rFonts w:cs="Arial"/>
                <w:color w:val="000000"/>
              </w:rPr>
            </w:pP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AUP</w:t>
            </w:r>
          </w:p>
        </w:tc>
        <w:tc>
          <w:tcPr>
            <w:tcW w:w="5580" w:type="dxa"/>
            <w:vAlign w:val="center"/>
          </w:tcPr>
          <w:p w:rsidR="007E3E8D" w:rsidRPr="00EB3654" w:rsidRDefault="007E3E8D" w:rsidP="00243C88">
            <w:pPr>
              <w:ind w:right="-1"/>
              <w:rPr>
                <w:rFonts w:cs="Arial"/>
                <w:color w:val="000000"/>
              </w:rPr>
            </w:pPr>
            <w:r w:rsidRPr="00EB3654">
              <w:rPr>
                <w:rFonts w:cs="Arial"/>
                <w:color w:val="000000"/>
              </w:rPr>
              <w:t>Acceptable Use Policy</w:t>
            </w:r>
          </w:p>
        </w:tc>
        <w:tc>
          <w:tcPr>
            <w:tcW w:w="3081" w:type="dxa"/>
            <w:vAlign w:val="center"/>
          </w:tcPr>
          <w:p w:rsidR="007E3E8D" w:rsidRPr="00EB3654" w:rsidRDefault="007E3E8D" w:rsidP="00243C88">
            <w:pPr>
              <w:ind w:right="-1"/>
              <w:rPr>
                <w:rFonts w:cs="Arial"/>
                <w:color w:val="000000"/>
              </w:rPr>
            </w:pP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BIM</w:t>
            </w:r>
          </w:p>
        </w:tc>
        <w:tc>
          <w:tcPr>
            <w:tcW w:w="5580" w:type="dxa"/>
            <w:vAlign w:val="center"/>
          </w:tcPr>
          <w:p w:rsidR="007E3E8D" w:rsidRPr="00EB3654" w:rsidRDefault="007E3E8D" w:rsidP="00243C88">
            <w:pPr>
              <w:ind w:right="-1"/>
              <w:rPr>
                <w:rFonts w:cs="Arial"/>
                <w:color w:val="000000"/>
              </w:rPr>
            </w:pPr>
            <w:r w:rsidRPr="00EB3654">
              <w:rPr>
                <w:rFonts w:cs="Arial"/>
                <w:color w:val="000000"/>
              </w:rPr>
              <w:t>Bord Iascaigh Mhara</w:t>
            </w:r>
          </w:p>
        </w:tc>
        <w:tc>
          <w:tcPr>
            <w:tcW w:w="3081" w:type="dxa"/>
            <w:vAlign w:val="center"/>
          </w:tcPr>
          <w:p w:rsidR="007E3E8D" w:rsidRPr="00EB3654" w:rsidRDefault="007E3E8D" w:rsidP="00243C88">
            <w:pPr>
              <w:ind w:right="-1"/>
              <w:rPr>
                <w:rFonts w:cs="Arial"/>
                <w:color w:val="000000"/>
              </w:rPr>
            </w:pP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CAO</w:t>
            </w:r>
          </w:p>
        </w:tc>
        <w:tc>
          <w:tcPr>
            <w:tcW w:w="5580" w:type="dxa"/>
            <w:vAlign w:val="center"/>
          </w:tcPr>
          <w:p w:rsidR="007E3E8D" w:rsidRPr="00EB3654" w:rsidRDefault="007E3E8D" w:rsidP="00243C88">
            <w:pPr>
              <w:ind w:right="-1"/>
              <w:rPr>
                <w:rFonts w:cs="Arial"/>
                <w:color w:val="000000"/>
              </w:rPr>
            </w:pPr>
            <w:r w:rsidRPr="00EB3654">
              <w:rPr>
                <w:rFonts w:cs="Arial"/>
                <w:color w:val="000000"/>
              </w:rPr>
              <w:t>Central Applications Office</w:t>
            </w:r>
          </w:p>
        </w:tc>
        <w:tc>
          <w:tcPr>
            <w:tcW w:w="3081" w:type="dxa"/>
            <w:vAlign w:val="center"/>
          </w:tcPr>
          <w:p w:rsidR="007E3E8D" w:rsidRPr="00EB3654" w:rsidRDefault="00530D5C" w:rsidP="00243C88">
            <w:pPr>
              <w:ind w:right="-1"/>
              <w:rPr>
                <w:rFonts w:cs="Arial"/>
                <w:color w:val="000000"/>
              </w:rPr>
            </w:pPr>
            <w:hyperlink r:id="rId17" w:history="1">
              <w:r w:rsidR="007E3E8D" w:rsidRPr="0065022F">
                <w:rPr>
                  <w:rStyle w:val="Hyperlink"/>
                  <w:rFonts w:cs="Arial"/>
                </w:rPr>
                <w:t>www.cao.ie</w:t>
              </w:r>
            </w:hyperlink>
            <w:r w:rsidR="007E3E8D">
              <w:rPr>
                <w:rFonts w:cs="Arial"/>
                <w:color w:val="000000"/>
              </w:rPr>
              <w:t xml:space="preserve"> </w:t>
            </w: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DOES</w:t>
            </w:r>
          </w:p>
        </w:tc>
        <w:tc>
          <w:tcPr>
            <w:tcW w:w="5580" w:type="dxa"/>
            <w:vAlign w:val="center"/>
          </w:tcPr>
          <w:p w:rsidR="007E3E8D" w:rsidRPr="00EB3654" w:rsidRDefault="007E3E8D" w:rsidP="00243C88">
            <w:pPr>
              <w:ind w:right="-1"/>
              <w:rPr>
                <w:rFonts w:cs="Arial"/>
                <w:color w:val="000000"/>
              </w:rPr>
            </w:pPr>
            <w:r w:rsidRPr="00EB3654">
              <w:rPr>
                <w:rFonts w:cs="Arial"/>
                <w:color w:val="000000"/>
              </w:rPr>
              <w:t>Department of Education and Science</w:t>
            </w:r>
          </w:p>
        </w:tc>
        <w:tc>
          <w:tcPr>
            <w:tcW w:w="3081" w:type="dxa"/>
            <w:vAlign w:val="center"/>
          </w:tcPr>
          <w:p w:rsidR="007E3E8D" w:rsidRPr="00EB3654" w:rsidRDefault="007E3E8D" w:rsidP="00243C88">
            <w:pPr>
              <w:ind w:right="-1"/>
              <w:rPr>
                <w:rFonts w:cs="Arial"/>
                <w:color w:val="000000"/>
              </w:rPr>
            </w:pP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EC</w:t>
            </w:r>
          </w:p>
        </w:tc>
        <w:tc>
          <w:tcPr>
            <w:tcW w:w="5580" w:type="dxa"/>
            <w:vAlign w:val="center"/>
          </w:tcPr>
          <w:p w:rsidR="007E3E8D" w:rsidRPr="00EB3654" w:rsidRDefault="007E3E8D" w:rsidP="00243C88">
            <w:pPr>
              <w:ind w:right="-1"/>
              <w:rPr>
                <w:rFonts w:cs="Arial"/>
                <w:color w:val="000000"/>
              </w:rPr>
            </w:pPr>
            <w:r w:rsidRPr="00EB3654">
              <w:rPr>
                <w:rFonts w:cs="Arial"/>
                <w:color w:val="000000"/>
              </w:rPr>
              <w:t>Executive Committee</w:t>
            </w:r>
          </w:p>
        </w:tc>
        <w:tc>
          <w:tcPr>
            <w:tcW w:w="3081" w:type="dxa"/>
            <w:vAlign w:val="center"/>
          </w:tcPr>
          <w:p w:rsidR="007E3E8D" w:rsidRPr="00EB3654" w:rsidRDefault="007E3E8D" w:rsidP="00243C88">
            <w:pPr>
              <w:ind w:right="-1"/>
              <w:rPr>
                <w:rFonts w:cs="Arial"/>
                <w:color w:val="000000"/>
              </w:rPr>
            </w:pP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 xml:space="preserve">ECTS </w:t>
            </w:r>
          </w:p>
        </w:tc>
        <w:tc>
          <w:tcPr>
            <w:tcW w:w="5580" w:type="dxa"/>
            <w:vAlign w:val="center"/>
          </w:tcPr>
          <w:p w:rsidR="007E3E8D" w:rsidRPr="00EB3654" w:rsidRDefault="007E3E8D" w:rsidP="00243C88">
            <w:pPr>
              <w:ind w:right="-1"/>
              <w:rPr>
                <w:rFonts w:cs="Arial"/>
                <w:color w:val="000000"/>
              </w:rPr>
            </w:pPr>
            <w:r w:rsidRPr="00EB3654">
              <w:rPr>
                <w:rFonts w:cs="Arial"/>
                <w:color w:val="000000"/>
              </w:rPr>
              <w:t>European Credit Transfer System</w:t>
            </w:r>
          </w:p>
        </w:tc>
        <w:tc>
          <w:tcPr>
            <w:tcW w:w="3081" w:type="dxa"/>
            <w:vAlign w:val="center"/>
          </w:tcPr>
          <w:p w:rsidR="007E3E8D" w:rsidRPr="00EB3654" w:rsidRDefault="007E3E8D" w:rsidP="00243C88">
            <w:pPr>
              <w:ind w:right="-1"/>
              <w:rPr>
                <w:rFonts w:cs="Arial"/>
                <w:color w:val="000000"/>
              </w:rPr>
            </w:pP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ESG</w:t>
            </w:r>
          </w:p>
        </w:tc>
        <w:tc>
          <w:tcPr>
            <w:tcW w:w="5580" w:type="dxa"/>
            <w:vAlign w:val="center"/>
          </w:tcPr>
          <w:p w:rsidR="007E3E8D" w:rsidRPr="00EB3654" w:rsidRDefault="007E3E8D" w:rsidP="00243C88">
            <w:pPr>
              <w:ind w:right="-1"/>
              <w:rPr>
                <w:rFonts w:cs="Arial"/>
                <w:color w:val="000000"/>
              </w:rPr>
            </w:pPr>
            <w:r w:rsidRPr="00EB3654">
              <w:rPr>
                <w:rFonts w:cs="Arial"/>
                <w:color w:val="000000"/>
              </w:rPr>
              <w:t>Standards and Guidelines for Quality Assurance in the European Higher Equal Area</w:t>
            </w:r>
          </w:p>
        </w:tc>
        <w:tc>
          <w:tcPr>
            <w:tcW w:w="3081" w:type="dxa"/>
            <w:vAlign w:val="center"/>
          </w:tcPr>
          <w:p w:rsidR="007E3E8D" w:rsidRPr="00EB3654" w:rsidRDefault="007E3E8D" w:rsidP="00243C88">
            <w:pPr>
              <w:ind w:right="-1"/>
              <w:rPr>
                <w:rFonts w:cs="Arial"/>
                <w:color w:val="000000"/>
              </w:rPr>
            </w:pP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FDS</w:t>
            </w:r>
          </w:p>
        </w:tc>
        <w:tc>
          <w:tcPr>
            <w:tcW w:w="5580" w:type="dxa"/>
            <w:vAlign w:val="center"/>
          </w:tcPr>
          <w:p w:rsidR="007E3E8D" w:rsidRPr="00EB3654" w:rsidRDefault="007E3E8D" w:rsidP="00243C88">
            <w:pPr>
              <w:ind w:right="-1"/>
              <w:rPr>
                <w:rFonts w:cs="Arial"/>
                <w:color w:val="000000"/>
              </w:rPr>
            </w:pPr>
            <w:r w:rsidRPr="00EB3654">
              <w:rPr>
                <w:rFonts w:cs="Arial"/>
                <w:color w:val="000000"/>
              </w:rPr>
              <w:t>First Destination Survey</w:t>
            </w:r>
          </w:p>
        </w:tc>
        <w:tc>
          <w:tcPr>
            <w:tcW w:w="3081" w:type="dxa"/>
            <w:vAlign w:val="center"/>
          </w:tcPr>
          <w:p w:rsidR="007E3E8D" w:rsidRPr="00EB3654" w:rsidRDefault="007E3E8D" w:rsidP="00243C88">
            <w:pPr>
              <w:ind w:right="-1"/>
              <w:rPr>
                <w:rFonts w:cs="Arial"/>
                <w:color w:val="000000"/>
              </w:rPr>
            </w:pP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HEA</w:t>
            </w:r>
          </w:p>
        </w:tc>
        <w:tc>
          <w:tcPr>
            <w:tcW w:w="5580" w:type="dxa"/>
            <w:vAlign w:val="center"/>
          </w:tcPr>
          <w:p w:rsidR="007E3E8D" w:rsidRPr="00EB3654" w:rsidRDefault="007E3E8D" w:rsidP="00243C88">
            <w:pPr>
              <w:ind w:right="-1"/>
              <w:rPr>
                <w:rFonts w:cs="Arial"/>
                <w:color w:val="000000"/>
              </w:rPr>
            </w:pPr>
            <w:r w:rsidRPr="00EB3654">
              <w:rPr>
                <w:rFonts w:cs="Arial"/>
                <w:color w:val="000000"/>
              </w:rPr>
              <w:t>Higher Education Authority</w:t>
            </w:r>
          </w:p>
        </w:tc>
        <w:tc>
          <w:tcPr>
            <w:tcW w:w="3081" w:type="dxa"/>
            <w:vAlign w:val="center"/>
          </w:tcPr>
          <w:p w:rsidR="007E3E8D" w:rsidRPr="00EB3654" w:rsidRDefault="00530D5C" w:rsidP="00243C88">
            <w:pPr>
              <w:ind w:right="-1"/>
              <w:rPr>
                <w:rFonts w:cs="Arial"/>
                <w:color w:val="000000"/>
              </w:rPr>
            </w:pPr>
            <w:hyperlink r:id="rId18" w:history="1">
              <w:r w:rsidR="007E3E8D" w:rsidRPr="0065022F">
                <w:rPr>
                  <w:rStyle w:val="Hyperlink"/>
                  <w:rFonts w:cs="Arial"/>
                </w:rPr>
                <w:t>www.hea.ie</w:t>
              </w:r>
            </w:hyperlink>
            <w:r w:rsidR="007E3E8D">
              <w:rPr>
                <w:rFonts w:cs="Arial"/>
                <w:color w:val="000000"/>
              </w:rPr>
              <w:t xml:space="preserve"> </w:t>
            </w: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ITS</w:t>
            </w:r>
          </w:p>
        </w:tc>
        <w:tc>
          <w:tcPr>
            <w:tcW w:w="5580" w:type="dxa"/>
            <w:vAlign w:val="center"/>
          </w:tcPr>
          <w:p w:rsidR="007E3E8D" w:rsidRPr="00EB3654" w:rsidRDefault="007E3E8D" w:rsidP="00243C88">
            <w:pPr>
              <w:ind w:right="-1"/>
              <w:rPr>
                <w:rFonts w:cs="Arial"/>
                <w:color w:val="000000"/>
              </w:rPr>
            </w:pPr>
            <w:r w:rsidRPr="00EB3654">
              <w:rPr>
                <w:rFonts w:cs="Arial"/>
                <w:color w:val="000000"/>
              </w:rPr>
              <w:t>Institute of Technology Sligo</w:t>
            </w:r>
          </w:p>
        </w:tc>
        <w:tc>
          <w:tcPr>
            <w:tcW w:w="3081" w:type="dxa"/>
            <w:vAlign w:val="center"/>
          </w:tcPr>
          <w:p w:rsidR="007E3E8D" w:rsidRPr="00EB3654" w:rsidRDefault="00530D5C" w:rsidP="00243C88">
            <w:pPr>
              <w:ind w:right="-1"/>
              <w:rPr>
                <w:rFonts w:cs="Arial"/>
                <w:color w:val="000000"/>
              </w:rPr>
            </w:pPr>
            <w:hyperlink r:id="rId19" w:history="1">
              <w:r w:rsidR="007E3E8D" w:rsidRPr="0065022F">
                <w:rPr>
                  <w:rStyle w:val="Hyperlink"/>
                  <w:rFonts w:cs="Arial"/>
                </w:rPr>
                <w:t>www.itsligo.ie</w:t>
              </w:r>
            </w:hyperlink>
            <w:r w:rsidR="007E3E8D">
              <w:rPr>
                <w:rFonts w:cs="Arial"/>
                <w:color w:val="000000"/>
              </w:rPr>
              <w:t xml:space="preserve"> </w:t>
            </w: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NFQ</w:t>
            </w:r>
          </w:p>
        </w:tc>
        <w:tc>
          <w:tcPr>
            <w:tcW w:w="5580" w:type="dxa"/>
            <w:vAlign w:val="center"/>
          </w:tcPr>
          <w:p w:rsidR="007E3E8D" w:rsidRPr="00EB3654" w:rsidRDefault="007E3E8D" w:rsidP="00243C88">
            <w:pPr>
              <w:ind w:right="-1"/>
              <w:rPr>
                <w:rFonts w:cs="Arial"/>
                <w:color w:val="000000"/>
              </w:rPr>
            </w:pPr>
            <w:r w:rsidRPr="00EB3654">
              <w:rPr>
                <w:rFonts w:cs="Arial"/>
                <w:color w:val="000000"/>
              </w:rPr>
              <w:t>National Framework of Qualifications</w:t>
            </w:r>
          </w:p>
        </w:tc>
        <w:tc>
          <w:tcPr>
            <w:tcW w:w="3081" w:type="dxa"/>
            <w:vAlign w:val="center"/>
          </w:tcPr>
          <w:p w:rsidR="007E3E8D" w:rsidRPr="00EB3654" w:rsidRDefault="007E3E8D" w:rsidP="00243C88">
            <w:pPr>
              <w:ind w:right="-1"/>
              <w:rPr>
                <w:rFonts w:cs="Arial"/>
                <w:color w:val="000000"/>
              </w:rPr>
            </w:pP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PCC</w:t>
            </w:r>
          </w:p>
        </w:tc>
        <w:tc>
          <w:tcPr>
            <w:tcW w:w="5580" w:type="dxa"/>
            <w:vAlign w:val="center"/>
          </w:tcPr>
          <w:p w:rsidR="007E3E8D" w:rsidRPr="00EB3654" w:rsidRDefault="007E3E8D" w:rsidP="00243C88">
            <w:pPr>
              <w:ind w:right="-1"/>
              <w:rPr>
                <w:rFonts w:cs="Arial"/>
                <w:color w:val="000000"/>
              </w:rPr>
            </w:pPr>
            <w:r w:rsidRPr="00EB3654">
              <w:rPr>
                <w:rFonts w:cs="Arial"/>
                <w:color w:val="000000"/>
              </w:rPr>
              <w:t>Planning and Coordinating Committee</w:t>
            </w:r>
          </w:p>
        </w:tc>
        <w:tc>
          <w:tcPr>
            <w:tcW w:w="3081" w:type="dxa"/>
            <w:vAlign w:val="center"/>
          </w:tcPr>
          <w:p w:rsidR="007E3E8D" w:rsidRPr="00EB3654" w:rsidRDefault="007E3E8D" w:rsidP="00243C88">
            <w:pPr>
              <w:ind w:right="-1"/>
              <w:rPr>
                <w:rFonts w:cs="Arial"/>
                <w:color w:val="000000"/>
              </w:rPr>
            </w:pP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PRTLI</w:t>
            </w:r>
          </w:p>
        </w:tc>
        <w:tc>
          <w:tcPr>
            <w:tcW w:w="5580" w:type="dxa"/>
            <w:vAlign w:val="center"/>
          </w:tcPr>
          <w:p w:rsidR="007E3E8D" w:rsidRPr="00EB3654" w:rsidRDefault="007E3E8D" w:rsidP="00243C88">
            <w:pPr>
              <w:ind w:right="-1"/>
              <w:rPr>
                <w:rFonts w:cs="Arial"/>
                <w:color w:val="000000"/>
              </w:rPr>
            </w:pPr>
            <w:r w:rsidRPr="00EB3654">
              <w:rPr>
                <w:rFonts w:cs="Arial"/>
                <w:color w:val="000000"/>
              </w:rPr>
              <w:t>Programme for Research in Third Level Institutions</w:t>
            </w:r>
          </w:p>
        </w:tc>
        <w:tc>
          <w:tcPr>
            <w:tcW w:w="3081" w:type="dxa"/>
            <w:vAlign w:val="center"/>
          </w:tcPr>
          <w:p w:rsidR="007E3E8D" w:rsidRPr="00EB3654" w:rsidRDefault="007E3E8D" w:rsidP="00243C88">
            <w:pPr>
              <w:ind w:right="-1"/>
              <w:rPr>
                <w:rFonts w:cs="Arial"/>
                <w:color w:val="000000"/>
              </w:rPr>
            </w:pP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QQI</w:t>
            </w:r>
          </w:p>
        </w:tc>
        <w:tc>
          <w:tcPr>
            <w:tcW w:w="5580" w:type="dxa"/>
            <w:vAlign w:val="center"/>
          </w:tcPr>
          <w:p w:rsidR="007E3E8D" w:rsidRPr="00EB3654" w:rsidRDefault="007E3E8D" w:rsidP="00243C88">
            <w:pPr>
              <w:ind w:right="-1"/>
              <w:rPr>
                <w:rFonts w:cs="Arial"/>
                <w:color w:val="000000"/>
              </w:rPr>
            </w:pPr>
            <w:r w:rsidRPr="00EB3654">
              <w:rPr>
                <w:rFonts w:cs="Arial"/>
                <w:color w:val="000000"/>
              </w:rPr>
              <w:t>Quality and Qualifications Ireland</w:t>
            </w:r>
          </w:p>
        </w:tc>
        <w:tc>
          <w:tcPr>
            <w:tcW w:w="3081" w:type="dxa"/>
            <w:vAlign w:val="center"/>
          </w:tcPr>
          <w:p w:rsidR="007E3E8D" w:rsidRPr="00EB3654" w:rsidRDefault="00530D5C" w:rsidP="00243C88">
            <w:pPr>
              <w:ind w:right="-1"/>
              <w:rPr>
                <w:rFonts w:cs="Arial"/>
                <w:color w:val="000000"/>
              </w:rPr>
            </w:pPr>
            <w:hyperlink r:id="rId20" w:history="1">
              <w:r w:rsidR="007E3E8D" w:rsidRPr="0065022F">
                <w:rPr>
                  <w:rStyle w:val="Hyperlink"/>
                  <w:rFonts w:cs="Arial"/>
                </w:rPr>
                <w:t>www.qqi.ie</w:t>
              </w:r>
            </w:hyperlink>
            <w:r w:rsidR="007E3E8D">
              <w:rPr>
                <w:rFonts w:cs="Arial"/>
                <w:color w:val="000000"/>
              </w:rPr>
              <w:t xml:space="preserve"> </w:t>
            </w: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RMS</w:t>
            </w:r>
          </w:p>
        </w:tc>
        <w:tc>
          <w:tcPr>
            <w:tcW w:w="5580" w:type="dxa"/>
            <w:vAlign w:val="center"/>
          </w:tcPr>
          <w:p w:rsidR="007E3E8D" w:rsidRPr="00EB3654" w:rsidRDefault="007E3E8D" w:rsidP="00243C88">
            <w:pPr>
              <w:ind w:right="-1"/>
              <w:rPr>
                <w:rFonts w:cs="Arial"/>
                <w:color w:val="000000"/>
              </w:rPr>
            </w:pPr>
            <w:r w:rsidRPr="00EB3654">
              <w:rPr>
                <w:rFonts w:cs="Arial"/>
                <w:color w:val="000000"/>
              </w:rPr>
              <w:t>Research Management Strategy</w:t>
            </w:r>
          </w:p>
        </w:tc>
        <w:tc>
          <w:tcPr>
            <w:tcW w:w="3081" w:type="dxa"/>
            <w:vAlign w:val="center"/>
          </w:tcPr>
          <w:p w:rsidR="007E3E8D" w:rsidRPr="00EB3654" w:rsidRDefault="007E3E8D" w:rsidP="00243C88">
            <w:pPr>
              <w:ind w:right="-1"/>
              <w:rPr>
                <w:rFonts w:cs="Arial"/>
                <w:color w:val="000000"/>
              </w:rPr>
            </w:pPr>
          </w:p>
        </w:tc>
      </w:tr>
      <w:tr w:rsidR="007E3E8D" w:rsidTr="00243C88">
        <w:trPr>
          <w:trHeight w:val="432"/>
        </w:trPr>
        <w:tc>
          <w:tcPr>
            <w:tcW w:w="918" w:type="dxa"/>
            <w:vAlign w:val="center"/>
          </w:tcPr>
          <w:p w:rsidR="007E3E8D" w:rsidRPr="00EB3654" w:rsidRDefault="007E3E8D" w:rsidP="00243C88">
            <w:pPr>
              <w:ind w:right="-1"/>
              <w:rPr>
                <w:rFonts w:cs="Arial"/>
                <w:color w:val="000000"/>
              </w:rPr>
            </w:pPr>
            <w:r w:rsidRPr="00EB3654">
              <w:rPr>
                <w:rFonts w:cs="Arial"/>
                <w:color w:val="000000"/>
              </w:rPr>
              <w:t>SFC</w:t>
            </w:r>
          </w:p>
        </w:tc>
        <w:tc>
          <w:tcPr>
            <w:tcW w:w="5580" w:type="dxa"/>
            <w:vAlign w:val="center"/>
          </w:tcPr>
          <w:p w:rsidR="007E3E8D" w:rsidRPr="00EB3654" w:rsidRDefault="007E3E8D" w:rsidP="00243C88">
            <w:pPr>
              <w:ind w:right="-1"/>
              <w:rPr>
                <w:rFonts w:cs="Arial"/>
                <w:color w:val="000000"/>
              </w:rPr>
            </w:pPr>
            <w:r w:rsidRPr="00EB3654">
              <w:rPr>
                <w:rFonts w:cs="Arial"/>
                <w:color w:val="000000"/>
              </w:rPr>
              <w:t>Student Finance Committee</w:t>
            </w:r>
          </w:p>
        </w:tc>
        <w:tc>
          <w:tcPr>
            <w:tcW w:w="3081" w:type="dxa"/>
            <w:vAlign w:val="center"/>
          </w:tcPr>
          <w:p w:rsidR="007E3E8D" w:rsidRPr="00EB3654" w:rsidRDefault="007E3E8D" w:rsidP="00243C88">
            <w:pPr>
              <w:ind w:right="-1"/>
              <w:rPr>
                <w:rFonts w:cs="Arial"/>
                <w:color w:val="000000"/>
              </w:rPr>
            </w:pPr>
          </w:p>
        </w:tc>
      </w:tr>
      <w:tr w:rsidR="007E3E8D" w:rsidTr="00243C88">
        <w:trPr>
          <w:trHeight w:val="432"/>
        </w:trPr>
        <w:tc>
          <w:tcPr>
            <w:tcW w:w="918" w:type="dxa"/>
            <w:vAlign w:val="center"/>
          </w:tcPr>
          <w:p w:rsidR="007E3E8D" w:rsidRPr="00EB3654" w:rsidRDefault="007E3E8D" w:rsidP="00243C88">
            <w:pPr>
              <w:rPr>
                <w:rFonts w:cs="Arial"/>
                <w:color w:val="000000"/>
              </w:rPr>
            </w:pPr>
            <w:r w:rsidRPr="00EB3654">
              <w:rPr>
                <w:rFonts w:cs="Arial"/>
                <w:color w:val="000000"/>
              </w:rPr>
              <w:t>SOP</w:t>
            </w:r>
          </w:p>
        </w:tc>
        <w:tc>
          <w:tcPr>
            <w:tcW w:w="5580" w:type="dxa"/>
            <w:vAlign w:val="center"/>
          </w:tcPr>
          <w:p w:rsidR="007E3E8D" w:rsidRDefault="007E3E8D" w:rsidP="00243C88">
            <w:r w:rsidRPr="00EB3654">
              <w:rPr>
                <w:rFonts w:cs="Arial"/>
                <w:color w:val="000000"/>
              </w:rPr>
              <w:t>Standard Operating Procedure</w:t>
            </w:r>
          </w:p>
        </w:tc>
        <w:tc>
          <w:tcPr>
            <w:tcW w:w="3081" w:type="dxa"/>
            <w:vAlign w:val="center"/>
          </w:tcPr>
          <w:p w:rsidR="007E3E8D" w:rsidRDefault="007E3E8D" w:rsidP="00243C88"/>
        </w:tc>
      </w:tr>
    </w:tbl>
    <w:p w:rsidR="007E3E8D" w:rsidRDefault="007E3E8D" w:rsidP="007E3E8D"/>
    <w:p w:rsidR="007E3E8D" w:rsidRDefault="007E3E8D" w:rsidP="00310849">
      <w:pPr>
        <w:tabs>
          <w:tab w:val="left" w:pos="1440"/>
        </w:tabs>
        <w:ind w:right="-1"/>
      </w:pPr>
    </w:p>
    <w:p w:rsidR="007E3E8D" w:rsidRDefault="007E3E8D" w:rsidP="00310849">
      <w:pPr>
        <w:tabs>
          <w:tab w:val="left" w:pos="1440"/>
        </w:tabs>
        <w:ind w:right="-1"/>
        <w:rPr>
          <w:rFonts w:cs="Arial"/>
          <w:color w:val="000000"/>
        </w:rPr>
      </w:pPr>
    </w:p>
    <w:p w:rsidR="009570BA" w:rsidRPr="00310849" w:rsidRDefault="009570BA" w:rsidP="00310849">
      <w:pPr>
        <w:pStyle w:val="Heading1"/>
        <w:rPr>
          <w:rFonts w:cs="Arial"/>
          <w:color w:val="000000"/>
        </w:rPr>
      </w:pPr>
      <w:bookmarkStart w:id="7" w:name="_Toc72120426"/>
      <w:bookmarkStart w:id="8" w:name="_Toc72589442"/>
      <w:bookmarkStart w:id="9" w:name="_Toc72755373"/>
      <w:bookmarkStart w:id="10" w:name="_Toc303862025"/>
      <w:bookmarkStart w:id="11" w:name="_Toc305076888"/>
      <w:bookmarkStart w:id="12" w:name="_Toc72757659"/>
      <w:bookmarkStart w:id="13" w:name="_Toc72761567"/>
      <w:bookmarkStart w:id="14" w:name="_Toc72765015"/>
      <w:bookmarkStart w:id="15" w:name="_Toc72812247"/>
      <w:r w:rsidRPr="00752D62">
        <w:t>Governance and Academic Management</w:t>
      </w:r>
      <w:bookmarkEnd w:id="7"/>
      <w:bookmarkEnd w:id="8"/>
      <w:bookmarkEnd w:id="9"/>
      <w:bookmarkEnd w:id="10"/>
      <w:bookmarkEnd w:id="11"/>
      <w:bookmarkEnd w:id="12"/>
      <w:bookmarkEnd w:id="13"/>
      <w:bookmarkEnd w:id="14"/>
      <w:bookmarkEnd w:id="15"/>
    </w:p>
    <w:p w:rsidR="009570BA" w:rsidRPr="004F1625" w:rsidRDefault="009570BA" w:rsidP="00ED03C1">
      <w:pPr>
        <w:pStyle w:val="Heading2"/>
        <w:numPr>
          <w:ilvl w:val="0"/>
          <w:numId w:val="20"/>
        </w:numPr>
        <w:ind w:hanging="720"/>
      </w:pPr>
      <w:bookmarkStart w:id="16" w:name="_Toc72589444"/>
      <w:bookmarkStart w:id="17" w:name="_Toc72755375"/>
      <w:bookmarkStart w:id="18" w:name="_Toc72761569"/>
      <w:bookmarkStart w:id="19" w:name="_Toc72765017"/>
      <w:bookmarkStart w:id="20" w:name="_Toc72812249"/>
      <w:r w:rsidRPr="004F1625">
        <w:t>Scope</w:t>
      </w:r>
      <w:bookmarkEnd w:id="16"/>
      <w:bookmarkEnd w:id="17"/>
      <w:bookmarkEnd w:id="18"/>
      <w:bookmarkEnd w:id="19"/>
      <w:bookmarkEnd w:id="20"/>
    </w:p>
    <w:p w:rsidR="00802DED" w:rsidRDefault="009570BA" w:rsidP="005500D6">
      <w:pPr>
        <w:spacing w:beforeLines="120" w:before="288"/>
        <w:contextualSpacing/>
        <w:rPr>
          <w:color w:val="000000"/>
        </w:rPr>
      </w:pPr>
      <w:r w:rsidRPr="004F1625">
        <w:rPr>
          <w:color w:val="000000"/>
        </w:rPr>
        <w:t xml:space="preserve">Chapter 1 outlines the legal framework that governs the establishment and operation of Institutes of Technologies (Regional Technical Colleges until 1998).  </w:t>
      </w:r>
    </w:p>
    <w:p w:rsidR="00802DED" w:rsidRPr="00802DED" w:rsidRDefault="00802DED" w:rsidP="005500D6">
      <w:pPr>
        <w:spacing w:beforeLines="120" w:before="288"/>
        <w:contextualSpacing/>
        <w:rPr>
          <w:color w:val="000000"/>
        </w:rPr>
      </w:pPr>
      <w:r w:rsidRPr="00802DED">
        <w:rPr>
          <w:color w:val="000000"/>
        </w:rPr>
        <w:lastRenderedPageBreak/>
        <w:t>Section 5 of the Regional Technical Colleges’ Act 1992 states that “ The principal function of a college shall, subject to the provisions of this Act, be to provide vocational and technical education and training for the economic, technological, scientific, commercial, industrial, social and cultural development of the state with particular reference to the region served by the college………”</w:t>
      </w:r>
    </w:p>
    <w:p w:rsidR="00802DED" w:rsidRDefault="00802DED" w:rsidP="005500D6">
      <w:pPr>
        <w:spacing w:beforeLines="120" w:before="288"/>
        <w:contextualSpacing/>
        <w:rPr>
          <w:color w:val="000000"/>
        </w:rPr>
      </w:pPr>
      <w:r>
        <w:rPr>
          <w:color w:val="000000"/>
        </w:rPr>
        <w:t>The functions of the Institute are</w:t>
      </w:r>
      <w:r w:rsidRPr="00802DED">
        <w:rPr>
          <w:color w:val="000000"/>
        </w:rPr>
        <w:t xml:space="preserve"> described in the Institutes of Technology Acts, 1992 to 2006 (Regional Technical Colleges Act 1992 and the Institutes of Technology Act 2006).</w:t>
      </w:r>
    </w:p>
    <w:p w:rsidR="00762F62" w:rsidRDefault="00762F62" w:rsidP="005500D6">
      <w:pPr>
        <w:spacing w:beforeLines="120" w:before="288"/>
        <w:contextualSpacing/>
        <w:rPr>
          <w:color w:val="000000"/>
        </w:rPr>
      </w:pPr>
      <w:r>
        <w:rPr>
          <w:color w:val="000000"/>
        </w:rPr>
        <w:t>The acts relevant to the Institutes of Technology are:-</w:t>
      </w:r>
    </w:p>
    <w:p w:rsidR="003F2815" w:rsidRDefault="003F2815" w:rsidP="005500D6">
      <w:pPr>
        <w:spacing w:beforeLines="120" w:before="288"/>
        <w:contextualSpacing/>
        <w:rPr>
          <w:color w:val="000000"/>
        </w:rPr>
      </w:pPr>
    </w:p>
    <w:p w:rsidR="00802DED" w:rsidRDefault="003F2815" w:rsidP="005500D6">
      <w:pPr>
        <w:spacing w:beforeLines="120" w:before="288"/>
        <w:contextualSpacing/>
        <w:rPr>
          <w:color w:val="000000"/>
        </w:rPr>
      </w:pPr>
      <w:hyperlink r:id="rId21" w:history="1">
        <w:r w:rsidR="00802DED" w:rsidRPr="003F2815">
          <w:rPr>
            <w:rStyle w:val="Hyperlink"/>
          </w:rPr>
          <w:t>Regional Technical Colleges Act 1992</w:t>
        </w:r>
      </w:hyperlink>
    </w:p>
    <w:p w:rsidR="003F2815" w:rsidRDefault="003F2815" w:rsidP="005500D6">
      <w:pPr>
        <w:spacing w:beforeLines="120" w:before="288"/>
        <w:contextualSpacing/>
        <w:rPr>
          <w:color w:val="000000"/>
        </w:rPr>
      </w:pPr>
    </w:p>
    <w:p w:rsidR="00802DED" w:rsidRDefault="003F2815" w:rsidP="005500D6">
      <w:pPr>
        <w:spacing w:beforeLines="120" w:before="288"/>
        <w:contextualSpacing/>
        <w:rPr>
          <w:color w:val="000000"/>
        </w:rPr>
      </w:pPr>
      <w:hyperlink r:id="rId22" w:history="1">
        <w:r w:rsidR="00802DED" w:rsidRPr="003F2815">
          <w:rPr>
            <w:rStyle w:val="Hyperlink"/>
          </w:rPr>
          <w:t>Regional Technical Colleges (Amendment) Act, 1994</w:t>
        </w:r>
      </w:hyperlink>
    </w:p>
    <w:p w:rsidR="003F2815" w:rsidRDefault="003F2815" w:rsidP="005500D6">
      <w:pPr>
        <w:spacing w:beforeLines="120" w:before="288"/>
        <w:contextualSpacing/>
        <w:rPr>
          <w:color w:val="000000"/>
        </w:rPr>
      </w:pPr>
    </w:p>
    <w:p w:rsidR="00802DED" w:rsidRDefault="003F2815" w:rsidP="005500D6">
      <w:pPr>
        <w:spacing w:beforeLines="120" w:before="288"/>
        <w:contextualSpacing/>
        <w:rPr>
          <w:rStyle w:val="Hyperlink"/>
        </w:rPr>
      </w:pPr>
      <w:hyperlink r:id="rId23" w:history="1">
        <w:r w:rsidR="00802DED" w:rsidRPr="003F2815">
          <w:rPr>
            <w:rStyle w:val="Hyperlink"/>
          </w:rPr>
          <w:t>Regional Technical Colleges (Amendment) Act, 1999</w:t>
        </w:r>
      </w:hyperlink>
      <w:r w:rsidR="00802DED">
        <w:rPr>
          <w:color w:val="000000"/>
        </w:rPr>
        <w:t xml:space="preserve"> </w:t>
      </w:r>
    </w:p>
    <w:p w:rsidR="003F2815" w:rsidRDefault="003F2815" w:rsidP="005500D6">
      <w:pPr>
        <w:spacing w:beforeLines="120" w:before="288"/>
        <w:contextualSpacing/>
        <w:rPr>
          <w:color w:val="000000"/>
        </w:rPr>
      </w:pPr>
    </w:p>
    <w:p w:rsidR="00802DED" w:rsidRDefault="003F2815" w:rsidP="005500D6">
      <w:pPr>
        <w:spacing w:beforeLines="120" w:before="288"/>
        <w:contextualSpacing/>
        <w:rPr>
          <w:rStyle w:val="Hyperlink"/>
        </w:rPr>
      </w:pPr>
      <w:hyperlink r:id="rId24" w:history="1">
        <w:r w:rsidR="00802DED" w:rsidRPr="003F2815">
          <w:rPr>
            <w:rStyle w:val="Hyperlink"/>
          </w:rPr>
          <w:t xml:space="preserve">Qualifications </w:t>
        </w:r>
        <w:r w:rsidR="00852526" w:rsidRPr="003F2815">
          <w:rPr>
            <w:rStyle w:val="Hyperlink"/>
          </w:rPr>
          <w:t>and</w:t>
        </w:r>
        <w:r w:rsidR="00802DED" w:rsidRPr="003F2815">
          <w:rPr>
            <w:rStyle w:val="Hyperlink"/>
          </w:rPr>
          <w:t xml:space="preserve"> Quality Assurance (Education </w:t>
        </w:r>
        <w:r w:rsidR="00852526" w:rsidRPr="003F2815">
          <w:rPr>
            <w:rStyle w:val="Hyperlink"/>
          </w:rPr>
          <w:t>and</w:t>
        </w:r>
        <w:r w:rsidR="00802DED" w:rsidRPr="003F2815">
          <w:rPr>
            <w:rStyle w:val="Hyperlink"/>
          </w:rPr>
          <w:t xml:space="preserve"> Training) Act 2012</w:t>
        </w:r>
      </w:hyperlink>
      <w:r w:rsidR="00802DED">
        <w:rPr>
          <w:color w:val="000000"/>
        </w:rPr>
        <w:t xml:space="preserve"> </w:t>
      </w:r>
    </w:p>
    <w:p w:rsidR="003F2815" w:rsidRDefault="003F2815" w:rsidP="005500D6">
      <w:pPr>
        <w:spacing w:beforeLines="120" w:before="288"/>
        <w:contextualSpacing/>
        <w:rPr>
          <w:color w:val="000000"/>
        </w:rPr>
      </w:pPr>
    </w:p>
    <w:p w:rsidR="00802DED" w:rsidRDefault="003F2815" w:rsidP="005500D6">
      <w:pPr>
        <w:spacing w:beforeLines="120" w:before="288"/>
        <w:contextualSpacing/>
        <w:rPr>
          <w:rStyle w:val="Hyperlink"/>
        </w:rPr>
      </w:pPr>
      <w:hyperlink r:id="rId25" w:history="1">
        <w:r w:rsidR="00802DED" w:rsidRPr="003F2815">
          <w:rPr>
            <w:rStyle w:val="Hyperlink"/>
          </w:rPr>
          <w:t>Institutes of Techno</w:t>
        </w:r>
        <w:r w:rsidR="00802DED" w:rsidRPr="003F2815">
          <w:rPr>
            <w:rStyle w:val="Hyperlink"/>
          </w:rPr>
          <w:t>l</w:t>
        </w:r>
        <w:r w:rsidR="00802DED" w:rsidRPr="003F2815">
          <w:rPr>
            <w:rStyle w:val="Hyperlink"/>
          </w:rPr>
          <w:t xml:space="preserve">ogy Act 2006 </w:t>
        </w:r>
        <w:r w:rsidR="00762F62" w:rsidRPr="003F2815">
          <w:rPr>
            <w:rStyle w:val="Hyperlink"/>
          </w:rPr>
          <w:t xml:space="preserve"> </w:t>
        </w:r>
      </w:hyperlink>
      <w:r w:rsidR="00762F62">
        <w:rPr>
          <w:color w:val="000000"/>
        </w:rPr>
        <w:t xml:space="preserve"> </w:t>
      </w:r>
    </w:p>
    <w:p w:rsidR="00046B9E" w:rsidRDefault="00046B9E" w:rsidP="005500D6">
      <w:pPr>
        <w:spacing w:beforeLines="120" w:before="288"/>
        <w:contextualSpacing/>
        <w:rPr>
          <w:color w:val="000000"/>
        </w:rPr>
      </w:pPr>
    </w:p>
    <w:p w:rsidR="00802DED" w:rsidRDefault="00046B9E" w:rsidP="005500D6">
      <w:pPr>
        <w:spacing w:beforeLines="120" w:before="288"/>
        <w:contextualSpacing/>
        <w:rPr>
          <w:rStyle w:val="IntenseReference"/>
        </w:rPr>
      </w:pPr>
      <w:hyperlink r:id="rId26" w:history="1">
        <w:r w:rsidR="00762F62" w:rsidRPr="00046B9E">
          <w:rPr>
            <w:rStyle w:val="Hyperlink"/>
            <w:spacing w:val="5"/>
          </w:rPr>
          <w:t>This document contains a consolidated version of the RTC an</w:t>
        </w:r>
        <w:r w:rsidR="00762F62" w:rsidRPr="00046B9E">
          <w:rPr>
            <w:rStyle w:val="Hyperlink"/>
            <w:spacing w:val="5"/>
          </w:rPr>
          <w:t>d</w:t>
        </w:r>
        <w:r w:rsidR="00762F62" w:rsidRPr="00046B9E">
          <w:rPr>
            <w:rStyle w:val="Hyperlink"/>
            <w:spacing w:val="5"/>
          </w:rPr>
          <w:t xml:space="preserve"> IOT Acts</w:t>
        </w:r>
      </w:hyperlink>
      <w:r w:rsidR="00762F62" w:rsidRPr="00762F62">
        <w:rPr>
          <w:rStyle w:val="IntenseReference"/>
        </w:rPr>
        <w:t xml:space="preserve">. </w:t>
      </w:r>
    </w:p>
    <w:p w:rsidR="003F2815" w:rsidRPr="00FF0133" w:rsidRDefault="003F2815" w:rsidP="005500D6">
      <w:pPr>
        <w:spacing w:beforeLines="120" w:before="288"/>
        <w:contextualSpacing/>
        <w:rPr>
          <w:b/>
          <w:bCs/>
          <w:smallCaps/>
          <w:color w:val="C0504D" w:themeColor="accent2"/>
          <w:spacing w:val="5"/>
          <w:u w:val="single"/>
        </w:rPr>
      </w:pPr>
    </w:p>
    <w:p w:rsidR="009570BA" w:rsidRPr="004F1625" w:rsidRDefault="009570BA" w:rsidP="005500D6">
      <w:pPr>
        <w:spacing w:beforeLines="120" w:before="288"/>
        <w:contextualSpacing/>
        <w:rPr>
          <w:color w:val="000000"/>
        </w:rPr>
      </w:pPr>
      <w:r>
        <w:rPr>
          <w:color w:val="000000"/>
        </w:rPr>
        <w:t>Throughout this chapter, line responsibility for ensuring academic quali</w:t>
      </w:r>
      <w:r w:rsidR="0041737D">
        <w:rPr>
          <w:color w:val="000000"/>
        </w:rPr>
        <w:t xml:space="preserve">ty in the Institute is assigned </w:t>
      </w:r>
      <w:r>
        <w:rPr>
          <w:color w:val="000000"/>
        </w:rPr>
        <w:t>to particular functional managers and institute committees.</w:t>
      </w:r>
      <w:r w:rsidRPr="004F1625">
        <w:rPr>
          <w:color w:val="000000"/>
        </w:rPr>
        <w:t xml:space="preserve">  </w:t>
      </w:r>
    </w:p>
    <w:p w:rsidR="009570BA" w:rsidRPr="007C0A76" w:rsidRDefault="009570BA" w:rsidP="00ED03C1">
      <w:pPr>
        <w:pStyle w:val="Heading2"/>
        <w:numPr>
          <w:ilvl w:val="0"/>
          <w:numId w:val="20"/>
        </w:numPr>
        <w:ind w:hanging="720"/>
      </w:pPr>
      <w:bookmarkStart w:id="21" w:name="_Toc72589446"/>
      <w:bookmarkStart w:id="22" w:name="_Toc72755377"/>
      <w:bookmarkStart w:id="23" w:name="_Toc72761571"/>
      <w:bookmarkStart w:id="24" w:name="_Toc72765019"/>
      <w:bookmarkStart w:id="25" w:name="_Toc72812251"/>
      <w:r w:rsidRPr="007C0A76">
        <w:t>The Governing Body</w:t>
      </w:r>
      <w:bookmarkEnd w:id="21"/>
      <w:bookmarkEnd w:id="22"/>
      <w:bookmarkEnd w:id="23"/>
      <w:bookmarkEnd w:id="24"/>
      <w:bookmarkEnd w:id="25"/>
    </w:p>
    <w:p w:rsidR="009570BA" w:rsidRDefault="007C0A76" w:rsidP="005500D6">
      <w:pPr>
        <w:spacing w:beforeLines="120" w:before="288"/>
        <w:contextualSpacing/>
        <w:rPr>
          <w:color w:val="000000"/>
        </w:rPr>
      </w:pPr>
      <w:r w:rsidRPr="007C0A76">
        <w:rPr>
          <w:color w:val="000000"/>
        </w:rPr>
        <w:t xml:space="preserve">The Governing Body comprises 19 members who typically meet 8 times each year, during the academic period. The President is an ex officio member of the GB and the Secretary/Financial Controller acts as its secretary. The </w:t>
      </w:r>
      <w:r w:rsidR="00C45209">
        <w:rPr>
          <w:color w:val="000000"/>
        </w:rPr>
        <w:t xml:space="preserve">rest of the Institute Executive team </w:t>
      </w:r>
      <w:r w:rsidRPr="007C0A76">
        <w:rPr>
          <w:color w:val="000000"/>
        </w:rPr>
        <w:t>attend meetings in an advisory capacity. The Governing Body routinely considers the recommendations made by the Academic Council.</w:t>
      </w:r>
    </w:p>
    <w:p w:rsidR="00762F62" w:rsidRDefault="00762F62" w:rsidP="005500D6">
      <w:pPr>
        <w:spacing w:beforeLines="120" w:before="288"/>
        <w:contextualSpacing/>
        <w:rPr>
          <w:color w:val="000000"/>
        </w:rPr>
      </w:pPr>
      <w:r>
        <w:rPr>
          <w:color w:val="000000"/>
        </w:rPr>
        <w:t xml:space="preserve">The current membership of the IT Sligo Governing Body can be found </w:t>
      </w:r>
      <w:hyperlink r:id="rId27" w:history="1">
        <w:r w:rsidRPr="002B156D">
          <w:rPr>
            <w:rStyle w:val="Hyperlink"/>
          </w:rPr>
          <w:t>here</w:t>
        </w:r>
      </w:hyperlink>
      <w:r>
        <w:rPr>
          <w:color w:val="000000"/>
        </w:rPr>
        <w:t xml:space="preserve">. </w:t>
      </w:r>
    </w:p>
    <w:p w:rsidR="00762F62" w:rsidRPr="004F1625" w:rsidRDefault="00762F62" w:rsidP="009570BA">
      <w:pPr>
        <w:spacing w:before="120"/>
        <w:ind w:right="-1"/>
        <w:rPr>
          <w:color w:val="000000"/>
        </w:rPr>
      </w:pPr>
    </w:p>
    <w:p w:rsidR="009570BA" w:rsidRPr="004F1625" w:rsidRDefault="009570BA" w:rsidP="00837184">
      <w:pPr>
        <w:pStyle w:val="Heading2"/>
        <w:numPr>
          <w:ilvl w:val="0"/>
          <w:numId w:val="20"/>
        </w:numPr>
        <w:ind w:hanging="720"/>
      </w:pPr>
      <w:bookmarkStart w:id="26" w:name="_Toc72589447"/>
      <w:bookmarkStart w:id="27" w:name="_Toc72755378"/>
      <w:bookmarkStart w:id="28" w:name="_Toc72761572"/>
      <w:bookmarkStart w:id="29" w:name="_Toc72765020"/>
      <w:bookmarkStart w:id="30" w:name="_Toc72812252"/>
      <w:r w:rsidRPr="004F1625">
        <w:t>Legal Changes</w:t>
      </w:r>
      <w:bookmarkEnd w:id="26"/>
      <w:bookmarkEnd w:id="27"/>
      <w:bookmarkEnd w:id="28"/>
      <w:bookmarkEnd w:id="29"/>
      <w:bookmarkEnd w:id="30"/>
    </w:p>
    <w:p w:rsidR="009570BA" w:rsidRDefault="00CA72B2" w:rsidP="005500D6">
      <w:pPr>
        <w:spacing w:beforeLines="120" w:before="288"/>
        <w:contextualSpacing/>
        <w:rPr>
          <w:color w:val="000000"/>
        </w:rPr>
      </w:pPr>
      <w:r>
        <w:rPr>
          <w:color w:val="000000"/>
        </w:rPr>
        <w:t>Under Section 53</w:t>
      </w:r>
      <w:r w:rsidR="007C0A76" w:rsidRPr="007C0A76">
        <w:rPr>
          <w:color w:val="000000"/>
        </w:rPr>
        <w:t xml:space="preserve"> of the Qualifications</w:t>
      </w:r>
      <w:r>
        <w:rPr>
          <w:color w:val="000000"/>
        </w:rPr>
        <w:t xml:space="preserve"> and Quality Assurance</w:t>
      </w:r>
      <w:r w:rsidR="007C0A76" w:rsidRPr="007C0A76">
        <w:rPr>
          <w:color w:val="000000"/>
        </w:rPr>
        <w:t xml:space="preserve"> (</w:t>
      </w:r>
      <w:r>
        <w:rPr>
          <w:color w:val="000000"/>
        </w:rPr>
        <w:t>Education and Training) Act 2012,</w:t>
      </w:r>
      <w:r w:rsidR="007C0A76" w:rsidRPr="007C0A76">
        <w:rPr>
          <w:color w:val="000000"/>
        </w:rPr>
        <w:t xml:space="preserve"> the Institute of Technology Sligo, was granted delegated authority to confer its own awards for all taught programmes at all Levels from Level 6 to Level 9 on the National Framework of Qualifications </w:t>
      </w:r>
      <w:r w:rsidR="0056628A">
        <w:t>(see Section 1.4</w:t>
      </w:r>
      <w:r w:rsidR="007C0A76" w:rsidRPr="0056628A">
        <w:t xml:space="preserve">). </w:t>
      </w:r>
      <w:r w:rsidR="007C0A76" w:rsidRPr="007C0A76">
        <w:rPr>
          <w:color w:val="000000"/>
        </w:rPr>
        <w:t>For research programmes, delegated authority has been granted in the areas of Environmental Science and Mechanical and Manufacturing Engineering up to Level 10. Such delegation remains under the Quality and Qualifications Act (2012). QQI currently makes all other awards for Level 9 and 10 qualifications by research.</w:t>
      </w:r>
    </w:p>
    <w:p w:rsidR="005500D6" w:rsidRPr="007C0A76" w:rsidRDefault="005500D6" w:rsidP="005500D6">
      <w:pPr>
        <w:spacing w:beforeLines="120" w:before="288"/>
        <w:contextualSpacing/>
        <w:rPr>
          <w:color w:val="000000"/>
        </w:rPr>
      </w:pPr>
    </w:p>
    <w:p w:rsidR="009570BA" w:rsidRPr="007C0A76" w:rsidRDefault="007C0A76" w:rsidP="005500D6">
      <w:pPr>
        <w:spacing w:beforeLines="120" w:before="288"/>
        <w:ind w:right="-1"/>
        <w:contextualSpacing/>
        <w:rPr>
          <w:color w:val="000000"/>
        </w:rPr>
      </w:pPr>
      <w:r w:rsidRPr="007C0A76">
        <w:rPr>
          <w:color w:val="000000"/>
        </w:rPr>
        <w:t>The Act also led to State funding of the Institute of Technology Sector, in line with what prevailed in the university sector, being directed through the Higher Education Authority.</w:t>
      </w:r>
    </w:p>
    <w:p w:rsidR="009570BA" w:rsidRPr="004F1625" w:rsidRDefault="009570BA" w:rsidP="00C74E6C">
      <w:pPr>
        <w:pStyle w:val="Heading2"/>
        <w:numPr>
          <w:ilvl w:val="0"/>
          <w:numId w:val="20"/>
        </w:numPr>
        <w:ind w:hanging="720"/>
      </w:pPr>
      <w:r w:rsidRPr="004F1625">
        <w:lastRenderedPageBreak/>
        <w:t>The National Higher Education Awards Structure</w:t>
      </w:r>
    </w:p>
    <w:p w:rsidR="009570BA" w:rsidRPr="004F1625" w:rsidRDefault="009570BA" w:rsidP="005500D6">
      <w:pPr>
        <w:spacing w:beforeLines="120" w:before="288"/>
        <w:contextualSpacing/>
        <w:rPr>
          <w:rFonts w:cs="Arial"/>
          <w:color w:val="000000"/>
        </w:rPr>
      </w:pPr>
      <w:r>
        <w:rPr>
          <w:rFonts w:cs="Arial"/>
          <w:color w:val="000000"/>
        </w:rPr>
        <w:t>QQI</w:t>
      </w:r>
      <w:r w:rsidRPr="004F1625">
        <w:rPr>
          <w:rFonts w:cs="Arial"/>
          <w:color w:val="000000"/>
        </w:rPr>
        <w:t xml:space="preserve"> has responsibility for developing and maintaining the National Framework of Qualifications (NFQ). It is also responsible for promoting and facilitating greater </w:t>
      </w:r>
      <w:hyperlink r:id="rId28" w:history="1">
        <w:r w:rsidRPr="004F1625">
          <w:rPr>
            <w:rFonts w:cs="Arial"/>
            <w:color w:val="000000"/>
          </w:rPr>
          <w:t>access to education and training and progression from one qualification to another</w:t>
        </w:r>
      </w:hyperlink>
      <w:r w:rsidRPr="004F1625">
        <w:rPr>
          <w:rFonts w:cs="Arial"/>
          <w:color w:val="000000"/>
        </w:rPr>
        <w:t xml:space="preserve">, through the NFQ. </w:t>
      </w:r>
    </w:p>
    <w:p w:rsidR="00E623BF" w:rsidRDefault="00E623BF" w:rsidP="005500D6">
      <w:pPr>
        <w:spacing w:beforeLines="120" w:before="288"/>
        <w:contextualSpacing/>
        <w:rPr>
          <w:rFonts w:cs="Arial"/>
          <w:color w:val="000000"/>
        </w:rPr>
      </w:pPr>
    </w:p>
    <w:p w:rsidR="009570BA" w:rsidRPr="004F1625" w:rsidRDefault="009570BA" w:rsidP="005500D6">
      <w:pPr>
        <w:spacing w:beforeLines="120" w:before="288"/>
        <w:contextualSpacing/>
        <w:rPr>
          <w:rFonts w:cs="Arial"/>
          <w:color w:val="000000"/>
        </w:rPr>
      </w:pPr>
      <w:r w:rsidRPr="004F1625">
        <w:rPr>
          <w:rFonts w:cs="Arial"/>
          <w:color w:val="000000"/>
        </w:rPr>
        <w:t xml:space="preserve">The NFQ was launched in 2003. It is a </w:t>
      </w:r>
      <w:hyperlink r:id="rId29" w:history="1">
        <w:r w:rsidRPr="004F1625">
          <w:rPr>
            <w:rFonts w:cs="Arial"/>
            <w:color w:val="000000"/>
          </w:rPr>
          <w:t>system of ten levels</w:t>
        </w:r>
      </w:hyperlink>
      <w:r w:rsidRPr="004F1625">
        <w:rPr>
          <w:rFonts w:cs="Arial"/>
          <w:color w:val="000000"/>
        </w:rPr>
        <w:t xml:space="preserve"> that incorporates awards made for all kinds of learning, wherever it is gai</w:t>
      </w:r>
      <w:r>
        <w:rPr>
          <w:rFonts w:cs="Arial"/>
          <w:color w:val="000000"/>
        </w:rPr>
        <w:t>ned.  Secondary, further education and higher education</w:t>
      </w:r>
      <w:r w:rsidRPr="004F1625">
        <w:rPr>
          <w:rFonts w:cs="Arial"/>
          <w:color w:val="000000"/>
        </w:rPr>
        <w:t xml:space="preserve"> are all included. The NFQ has introduced new qualifications to the Irish education and training system. Through its ten Levels, the NFQ provides a means of comparing and contrasting national and international education and training qualifications. It helps learners to plan their education and training and </w:t>
      </w:r>
      <w:hyperlink r:id="rId30" w:history="1">
        <w:r w:rsidRPr="004F1625">
          <w:rPr>
            <w:rFonts w:cs="Arial"/>
            <w:color w:val="000000"/>
          </w:rPr>
          <w:t>employers</w:t>
        </w:r>
      </w:hyperlink>
      <w:r w:rsidRPr="004F1625">
        <w:rPr>
          <w:rFonts w:cs="Arial"/>
          <w:color w:val="000000"/>
        </w:rPr>
        <w:t xml:space="preserve"> to identify the qualifications they require.</w:t>
      </w:r>
    </w:p>
    <w:p w:rsidR="009570BA" w:rsidRPr="004F1625" w:rsidRDefault="009570BA" w:rsidP="005500D6">
      <w:pPr>
        <w:spacing w:beforeLines="120" w:before="288"/>
        <w:contextualSpacing/>
        <w:rPr>
          <w:rFonts w:cs="Arial"/>
          <w:color w:val="000000"/>
        </w:rPr>
      </w:pPr>
      <w:r>
        <w:rPr>
          <w:rFonts w:cs="Arial"/>
          <w:color w:val="000000"/>
        </w:rPr>
        <w:t>National</w:t>
      </w:r>
      <w:r w:rsidRPr="004F1625">
        <w:rPr>
          <w:rFonts w:cs="Arial"/>
          <w:color w:val="000000"/>
        </w:rPr>
        <w:t xml:space="preserve"> standards define the outcomes to be achieved by learners seeking to gain an award at a</w:t>
      </w:r>
      <w:r>
        <w:rPr>
          <w:rFonts w:cs="Arial"/>
          <w:color w:val="000000"/>
        </w:rPr>
        <w:t>ny given</w:t>
      </w:r>
      <w:r w:rsidRPr="004F1625">
        <w:rPr>
          <w:rFonts w:cs="Arial"/>
          <w:color w:val="000000"/>
        </w:rPr>
        <w:t xml:space="preserve"> Level within the F</w:t>
      </w:r>
      <w:r>
        <w:rPr>
          <w:rFonts w:cs="Arial"/>
          <w:color w:val="000000"/>
        </w:rPr>
        <w:t xml:space="preserve">ramework. A learner is assessed for achievements </w:t>
      </w:r>
      <w:r w:rsidRPr="004F1625">
        <w:rPr>
          <w:rFonts w:cs="Arial"/>
          <w:color w:val="000000"/>
        </w:rPr>
        <w:t>standards in order to gain an award. The NFQ has four award-types, they are:</w:t>
      </w:r>
    </w:p>
    <w:p w:rsidR="009570BA" w:rsidRPr="004F1625" w:rsidRDefault="009570BA" w:rsidP="005500D6">
      <w:pPr>
        <w:numPr>
          <w:ilvl w:val="0"/>
          <w:numId w:val="2"/>
        </w:numPr>
        <w:spacing w:beforeLines="120" w:before="288"/>
        <w:ind w:left="0" w:firstLine="0"/>
        <w:contextualSpacing/>
        <w:rPr>
          <w:rFonts w:cs="Arial"/>
          <w:color w:val="000000"/>
        </w:rPr>
      </w:pPr>
      <w:r w:rsidRPr="004F1625">
        <w:rPr>
          <w:rFonts w:cs="Arial"/>
          <w:color w:val="000000"/>
        </w:rPr>
        <w:t>Major Awards</w:t>
      </w:r>
    </w:p>
    <w:p w:rsidR="009570BA" w:rsidRPr="004F1625" w:rsidRDefault="009570BA" w:rsidP="005500D6">
      <w:pPr>
        <w:numPr>
          <w:ilvl w:val="0"/>
          <w:numId w:val="2"/>
        </w:numPr>
        <w:spacing w:beforeLines="120" w:before="288"/>
        <w:ind w:left="0" w:firstLine="0"/>
        <w:contextualSpacing/>
        <w:rPr>
          <w:rFonts w:cs="Arial"/>
          <w:color w:val="000000"/>
        </w:rPr>
      </w:pPr>
      <w:r w:rsidRPr="004F1625">
        <w:rPr>
          <w:rFonts w:cs="Arial"/>
          <w:color w:val="000000"/>
        </w:rPr>
        <w:t>Minor Awards : for partial completion of the outcomes for a Major Award</w:t>
      </w:r>
    </w:p>
    <w:p w:rsidR="009570BA" w:rsidRPr="004F1625" w:rsidRDefault="009570BA" w:rsidP="005500D6">
      <w:pPr>
        <w:numPr>
          <w:ilvl w:val="0"/>
          <w:numId w:val="2"/>
        </w:numPr>
        <w:spacing w:beforeLines="120" w:before="288"/>
        <w:ind w:left="0" w:firstLine="0"/>
        <w:contextualSpacing/>
        <w:rPr>
          <w:rFonts w:cs="Arial"/>
          <w:color w:val="000000"/>
        </w:rPr>
      </w:pPr>
      <w:r w:rsidRPr="004F1625">
        <w:rPr>
          <w:rFonts w:cs="Arial"/>
          <w:color w:val="000000"/>
        </w:rPr>
        <w:t>Supplemental Awards : for learning that is additional to a Major Award</w:t>
      </w:r>
    </w:p>
    <w:p w:rsidR="009570BA" w:rsidRDefault="009570BA" w:rsidP="005500D6">
      <w:pPr>
        <w:numPr>
          <w:ilvl w:val="0"/>
          <w:numId w:val="2"/>
        </w:numPr>
        <w:spacing w:beforeLines="120" w:before="288"/>
        <w:ind w:left="0" w:firstLine="0"/>
        <w:contextualSpacing/>
        <w:rPr>
          <w:rFonts w:cs="Arial"/>
          <w:color w:val="000000"/>
        </w:rPr>
      </w:pPr>
      <w:r w:rsidRPr="004F1625">
        <w:rPr>
          <w:rFonts w:cs="Arial"/>
          <w:color w:val="000000"/>
        </w:rPr>
        <w:t xml:space="preserve">Special Purpose Awards: for relatively narrow or purpose-specific achievement </w:t>
      </w:r>
    </w:p>
    <w:p w:rsidR="00E623BF" w:rsidRDefault="00E623BF" w:rsidP="005500D6">
      <w:pPr>
        <w:tabs>
          <w:tab w:val="left" w:pos="4395"/>
        </w:tabs>
        <w:spacing w:beforeLines="120" w:before="288"/>
        <w:contextualSpacing/>
        <w:rPr>
          <w:color w:val="000000"/>
        </w:rPr>
      </w:pPr>
    </w:p>
    <w:p w:rsidR="009570BA" w:rsidRDefault="009570BA" w:rsidP="005500D6">
      <w:pPr>
        <w:tabs>
          <w:tab w:val="left" w:pos="4395"/>
        </w:tabs>
        <w:spacing w:beforeLines="120" w:before="288"/>
        <w:contextualSpacing/>
        <w:rPr>
          <w:color w:val="000000"/>
        </w:rPr>
      </w:pPr>
      <w:r w:rsidRPr="004F1625">
        <w:rPr>
          <w:color w:val="000000"/>
        </w:rPr>
        <w:t xml:space="preserve">The NFQ has significantly enhanced the recognition of further education through the development of Levels 1-6 qualifications. The apprenticeship qualifications of Advanced Certificate are at Level 6 on the Framework. There are seven major Higher Education award-types offered by Institutes of Technology: </w:t>
      </w:r>
    </w:p>
    <w:p w:rsidR="009570BA" w:rsidRPr="004F1625" w:rsidRDefault="009570BA" w:rsidP="005500D6">
      <w:pPr>
        <w:numPr>
          <w:ilvl w:val="0"/>
          <w:numId w:val="3"/>
        </w:numPr>
        <w:tabs>
          <w:tab w:val="left" w:pos="993"/>
          <w:tab w:val="left" w:pos="4395"/>
        </w:tabs>
        <w:spacing w:beforeLines="120" w:before="288"/>
        <w:ind w:left="0" w:firstLine="0"/>
        <w:contextualSpacing/>
        <w:rPr>
          <w:color w:val="000000"/>
        </w:rPr>
      </w:pPr>
      <w:r w:rsidRPr="004F1625">
        <w:rPr>
          <w:color w:val="000000"/>
        </w:rPr>
        <w:t>Higher Certificate</w:t>
      </w:r>
      <w:r w:rsidRPr="004F1625">
        <w:rPr>
          <w:color w:val="000000"/>
        </w:rPr>
        <w:tab/>
        <w:t>Level 6</w:t>
      </w:r>
    </w:p>
    <w:p w:rsidR="009570BA" w:rsidRPr="004F1625" w:rsidRDefault="009570BA" w:rsidP="005500D6">
      <w:pPr>
        <w:numPr>
          <w:ilvl w:val="0"/>
          <w:numId w:val="3"/>
        </w:numPr>
        <w:tabs>
          <w:tab w:val="left" w:pos="993"/>
          <w:tab w:val="left" w:pos="4395"/>
        </w:tabs>
        <w:spacing w:beforeLines="120" w:before="288"/>
        <w:ind w:left="0" w:firstLine="0"/>
        <w:contextualSpacing/>
        <w:rPr>
          <w:color w:val="000000"/>
        </w:rPr>
      </w:pPr>
      <w:r w:rsidRPr="004F1625">
        <w:rPr>
          <w:color w:val="000000"/>
        </w:rPr>
        <w:t>Ordinary Bachelor Degree</w:t>
      </w:r>
      <w:r w:rsidRPr="004F1625">
        <w:rPr>
          <w:color w:val="000000"/>
        </w:rPr>
        <w:tab/>
        <w:t xml:space="preserve">Level 7 </w:t>
      </w:r>
    </w:p>
    <w:p w:rsidR="009570BA" w:rsidRPr="004F1625" w:rsidRDefault="009570BA" w:rsidP="005500D6">
      <w:pPr>
        <w:numPr>
          <w:ilvl w:val="0"/>
          <w:numId w:val="3"/>
        </w:numPr>
        <w:tabs>
          <w:tab w:val="left" w:pos="993"/>
          <w:tab w:val="left" w:pos="4395"/>
        </w:tabs>
        <w:spacing w:beforeLines="120" w:before="288"/>
        <w:ind w:left="0" w:firstLine="0"/>
        <w:contextualSpacing/>
        <w:rPr>
          <w:color w:val="000000"/>
        </w:rPr>
      </w:pPr>
      <w:r w:rsidRPr="004F1625">
        <w:rPr>
          <w:color w:val="000000"/>
        </w:rPr>
        <w:t xml:space="preserve">Honours Bachelor Degree </w:t>
      </w:r>
      <w:r w:rsidRPr="004F1625">
        <w:rPr>
          <w:color w:val="000000"/>
        </w:rPr>
        <w:tab/>
        <w:t>Level 8</w:t>
      </w:r>
    </w:p>
    <w:p w:rsidR="009570BA" w:rsidRPr="004F1625" w:rsidRDefault="009570BA" w:rsidP="005500D6">
      <w:pPr>
        <w:numPr>
          <w:ilvl w:val="0"/>
          <w:numId w:val="3"/>
        </w:numPr>
        <w:tabs>
          <w:tab w:val="left" w:pos="993"/>
          <w:tab w:val="left" w:pos="4395"/>
        </w:tabs>
        <w:spacing w:beforeLines="120" w:before="288"/>
        <w:ind w:left="0" w:firstLine="0"/>
        <w:contextualSpacing/>
        <w:rPr>
          <w:color w:val="000000"/>
        </w:rPr>
      </w:pPr>
      <w:r w:rsidRPr="004F1625">
        <w:rPr>
          <w:color w:val="000000"/>
        </w:rPr>
        <w:t>Higher Diploma</w:t>
      </w:r>
      <w:r w:rsidRPr="004F1625">
        <w:rPr>
          <w:color w:val="000000"/>
        </w:rPr>
        <w:tab/>
        <w:t>Level 8</w:t>
      </w:r>
    </w:p>
    <w:p w:rsidR="009570BA" w:rsidRPr="004F1625" w:rsidRDefault="009570BA" w:rsidP="005500D6">
      <w:pPr>
        <w:numPr>
          <w:ilvl w:val="0"/>
          <w:numId w:val="3"/>
        </w:numPr>
        <w:tabs>
          <w:tab w:val="left" w:pos="993"/>
          <w:tab w:val="left" w:pos="4395"/>
        </w:tabs>
        <w:spacing w:beforeLines="120" w:before="288"/>
        <w:ind w:left="0" w:firstLine="0"/>
        <w:contextualSpacing/>
        <w:rPr>
          <w:color w:val="000000"/>
        </w:rPr>
      </w:pPr>
      <w:r w:rsidRPr="004F1625">
        <w:rPr>
          <w:color w:val="000000"/>
        </w:rPr>
        <w:t>Graduate Diploma</w:t>
      </w:r>
      <w:r w:rsidRPr="004F1625">
        <w:rPr>
          <w:color w:val="000000"/>
        </w:rPr>
        <w:tab/>
        <w:t>Level 9</w:t>
      </w:r>
    </w:p>
    <w:p w:rsidR="009570BA" w:rsidRPr="004F1625" w:rsidRDefault="009570BA" w:rsidP="005500D6">
      <w:pPr>
        <w:numPr>
          <w:ilvl w:val="0"/>
          <w:numId w:val="3"/>
        </w:numPr>
        <w:tabs>
          <w:tab w:val="left" w:pos="993"/>
          <w:tab w:val="left" w:pos="4395"/>
        </w:tabs>
        <w:spacing w:beforeLines="120" w:before="288"/>
        <w:ind w:left="0" w:firstLine="0"/>
        <w:contextualSpacing/>
        <w:rPr>
          <w:color w:val="000000"/>
        </w:rPr>
      </w:pPr>
      <w:r w:rsidRPr="004F1625">
        <w:rPr>
          <w:color w:val="000000"/>
        </w:rPr>
        <w:t xml:space="preserve">Masters </w:t>
      </w:r>
      <w:r w:rsidRPr="004F1625">
        <w:rPr>
          <w:color w:val="000000"/>
        </w:rPr>
        <w:tab/>
        <w:t>Level 9</w:t>
      </w:r>
    </w:p>
    <w:p w:rsidR="009570BA" w:rsidRDefault="009570BA" w:rsidP="005500D6">
      <w:pPr>
        <w:numPr>
          <w:ilvl w:val="0"/>
          <w:numId w:val="3"/>
        </w:numPr>
        <w:tabs>
          <w:tab w:val="left" w:pos="993"/>
          <w:tab w:val="left" w:pos="4395"/>
        </w:tabs>
        <w:spacing w:beforeLines="120" w:before="288"/>
        <w:ind w:left="0" w:firstLine="0"/>
        <w:contextualSpacing/>
        <w:rPr>
          <w:color w:val="000000"/>
        </w:rPr>
      </w:pPr>
      <w:r>
        <w:rPr>
          <w:color w:val="000000"/>
        </w:rPr>
        <w:t>Doctoral Degree</w:t>
      </w:r>
      <w:r>
        <w:rPr>
          <w:color w:val="000000"/>
        </w:rPr>
        <w:tab/>
        <w:t>Level 10</w:t>
      </w:r>
    </w:p>
    <w:p w:rsidR="009570BA" w:rsidRDefault="00530D5C" w:rsidP="005500D6">
      <w:pPr>
        <w:spacing w:beforeLines="120" w:before="288"/>
        <w:contextualSpacing/>
        <w:rPr>
          <w:color w:val="000000"/>
        </w:rPr>
      </w:pPr>
      <w:hyperlink r:id="rId31" w:history="1">
        <w:r w:rsidR="009570BA" w:rsidRPr="004F1625">
          <w:rPr>
            <w:color w:val="000000"/>
          </w:rPr>
          <w:t>Minor, Supplemental and Special Purpose awards</w:t>
        </w:r>
      </w:hyperlink>
      <w:r w:rsidR="009570BA" w:rsidRPr="004F1625">
        <w:rPr>
          <w:color w:val="000000"/>
        </w:rPr>
        <w:t xml:space="preserve"> are classified as Certificate and Diploma, depending on the award level and number of credits awarded.</w:t>
      </w:r>
    </w:p>
    <w:p w:rsidR="00052CDF" w:rsidRDefault="00052CDF" w:rsidP="005500D6">
      <w:pPr>
        <w:spacing w:beforeLines="120" w:before="288"/>
        <w:contextualSpacing/>
        <w:rPr>
          <w:rStyle w:val="Hyperlink"/>
          <w:rFonts w:cs="Arial"/>
        </w:rPr>
      </w:pPr>
      <w:r w:rsidRPr="0056628A">
        <w:rPr>
          <w:rFonts w:cs="Arial"/>
          <w:color w:val="000000"/>
        </w:rPr>
        <w:t xml:space="preserve">For naming Minor, Special Purpose &amp; Supplemental awards reference </w:t>
      </w:r>
      <w:r>
        <w:rPr>
          <w:rFonts w:cs="Arial"/>
          <w:color w:val="000000"/>
        </w:rPr>
        <w:t xml:space="preserve">see </w:t>
      </w:r>
      <w:hyperlink r:id="rId32" w:history="1">
        <w:r w:rsidRPr="002B156D">
          <w:rPr>
            <w:rStyle w:val="Hyperlink"/>
            <w:rFonts w:cs="Arial"/>
          </w:rPr>
          <w:t xml:space="preserve">QQI </w:t>
        </w:r>
        <w:r w:rsidR="002B156D" w:rsidRPr="002B156D">
          <w:rPr>
            <w:rStyle w:val="Hyperlink"/>
            <w:rFonts w:cs="Arial"/>
          </w:rPr>
          <w:t>policy</w:t>
        </w:r>
      </w:hyperlink>
      <w:r w:rsidR="002B156D">
        <w:rPr>
          <w:rFonts w:cs="Arial"/>
          <w:color w:val="000000"/>
        </w:rPr>
        <w:t>.</w:t>
      </w:r>
      <w:r w:rsidRPr="0056628A">
        <w:rPr>
          <w:rFonts w:cs="Arial"/>
          <w:color w:val="000000"/>
        </w:rPr>
        <w:t xml:space="preserve"> </w:t>
      </w:r>
    </w:p>
    <w:p w:rsidR="002B156D" w:rsidRDefault="002B156D" w:rsidP="005500D6">
      <w:pPr>
        <w:spacing w:beforeLines="120" w:before="288"/>
        <w:contextualSpacing/>
        <w:rPr>
          <w:rFonts w:cs="Arial"/>
          <w:color w:val="000000"/>
        </w:rPr>
      </w:pPr>
    </w:p>
    <w:p w:rsidR="009570BA" w:rsidRPr="004F1625" w:rsidRDefault="009570BA" w:rsidP="005500D6">
      <w:pPr>
        <w:spacing w:beforeLines="120" w:before="288"/>
        <w:contextualSpacing/>
        <w:rPr>
          <w:rFonts w:cs="Arial"/>
          <w:color w:val="000000"/>
        </w:rPr>
      </w:pPr>
      <w:r w:rsidRPr="004F1625">
        <w:rPr>
          <w:rFonts w:cs="Arial"/>
          <w:color w:val="000000"/>
        </w:rPr>
        <w:t xml:space="preserve">A key element of the NFQ is to improve access (entry) to education and training, </w:t>
      </w:r>
      <w:r w:rsidRPr="00E15D21">
        <w:rPr>
          <w:rFonts w:cs="Arial"/>
          <w:i/>
          <w:color w:val="000000"/>
        </w:rPr>
        <w:t>transfer</w:t>
      </w:r>
      <w:r w:rsidRPr="004F1625">
        <w:rPr>
          <w:rFonts w:cs="Arial"/>
          <w:color w:val="000000"/>
        </w:rPr>
        <w:t xml:space="preserve"> within and between education and training and </w:t>
      </w:r>
      <w:r w:rsidRPr="00E15D21">
        <w:rPr>
          <w:rFonts w:cs="Arial"/>
          <w:i/>
          <w:color w:val="000000"/>
        </w:rPr>
        <w:t>progression</w:t>
      </w:r>
      <w:r w:rsidRPr="004F1625">
        <w:rPr>
          <w:rFonts w:cs="Arial"/>
          <w:color w:val="000000"/>
        </w:rPr>
        <w:t xml:space="preserve"> within and between education and training.  This includes national policies and operational guidelines on the recognition of prior learning (RPL) and</w:t>
      </w:r>
      <w:r>
        <w:rPr>
          <w:rFonts w:cs="Arial"/>
          <w:color w:val="000000"/>
        </w:rPr>
        <w:t xml:space="preserve"> award of academic</w:t>
      </w:r>
      <w:r w:rsidRPr="004F1625">
        <w:rPr>
          <w:rFonts w:cs="Arial"/>
          <w:color w:val="000000"/>
        </w:rPr>
        <w:t xml:space="preserve"> credit.  </w:t>
      </w:r>
      <w:r>
        <w:rPr>
          <w:rFonts w:cs="Arial"/>
          <w:color w:val="000000"/>
        </w:rPr>
        <w:t xml:space="preserve">QQI </w:t>
      </w:r>
      <w:r w:rsidRPr="004F1625">
        <w:rPr>
          <w:rFonts w:cs="Arial"/>
          <w:color w:val="000000"/>
        </w:rPr>
        <w:t>oversee</w:t>
      </w:r>
      <w:r>
        <w:rPr>
          <w:rFonts w:cs="Arial"/>
          <w:color w:val="000000"/>
        </w:rPr>
        <w:t xml:space="preserve">s </w:t>
      </w:r>
      <w:r w:rsidRPr="004F1625">
        <w:rPr>
          <w:rFonts w:cs="Arial"/>
          <w:color w:val="000000"/>
        </w:rPr>
        <w:t xml:space="preserve">quality assurance in relation to programmes on the framework. </w:t>
      </w:r>
    </w:p>
    <w:p w:rsidR="006134E4" w:rsidRDefault="009570BA" w:rsidP="006134E4">
      <w:pPr>
        <w:spacing w:beforeLines="120" w:before="288"/>
        <w:contextualSpacing/>
        <w:rPr>
          <w:rFonts w:cs="Arial"/>
          <w:color w:val="000000"/>
        </w:rPr>
      </w:pPr>
      <w:r w:rsidRPr="004F1625">
        <w:rPr>
          <w:rFonts w:cs="Arial"/>
          <w:color w:val="000000"/>
        </w:rPr>
        <w:t>The introduction of the NFQ has provided a tool by which qualifications gained outside the State can be recognised. The NFQ, is also linked to similar initiatives that are taking place in other countries an</w:t>
      </w:r>
      <w:r w:rsidR="006134E4">
        <w:rPr>
          <w:rFonts w:cs="Arial"/>
          <w:color w:val="000000"/>
        </w:rPr>
        <w:t>d at an overall European level.</w:t>
      </w:r>
    </w:p>
    <w:p w:rsidR="006134E4" w:rsidRDefault="006134E4" w:rsidP="006134E4">
      <w:pPr>
        <w:spacing w:beforeLines="120" w:before="288"/>
        <w:contextualSpacing/>
        <w:rPr>
          <w:rFonts w:cs="Arial"/>
          <w:color w:val="000000"/>
        </w:rPr>
      </w:pPr>
    </w:p>
    <w:p w:rsidR="009570BA" w:rsidRPr="007D2F7B" w:rsidRDefault="0056628A" w:rsidP="006134E4">
      <w:pPr>
        <w:spacing w:beforeLines="120" w:before="288"/>
        <w:contextualSpacing/>
        <w:rPr>
          <w:color w:val="000000"/>
        </w:rPr>
      </w:pPr>
      <w:r w:rsidRPr="0056628A">
        <w:rPr>
          <w:color w:val="000000"/>
        </w:rPr>
        <w:lastRenderedPageBreak/>
        <w:t>IT Sligo is required, under delegated authority from QQI, to determine the standards of knowledge, skills and competencies for all of its named awards at Levels 6 to 10, to ensure that these comply with both national framework standards and specific discipline standards published by QQI and to ensure that it has established and maintains fair and consistent policies and processes for assessing achievement of those standards.</w:t>
      </w:r>
    </w:p>
    <w:p w:rsidR="007D2F7B" w:rsidRPr="007D2F7B" w:rsidRDefault="009570BA" w:rsidP="00D2449B">
      <w:pPr>
        <w:pStyle w:val="Heading2"/>
        <w:numPr>
          <w:ilvl w:val="0"/>
          <w:numId w:val="20"/>
        </w:numPr>
        <w:ind w:hanging="720"/>
      </w:pPr>
      <w:r w:rsidRPr="004F1625">
        <w:t>The European Higher Education Structure</w:t>
      </w:r>
    </w:p>
    <w:p w:rsidR="009570BA" w:rsidRPr="004F1625" w:rsidRDefault="009570BA" w:rsidP="003325C7">
      <w:pPr>
        <w:pStyle w:val="Heading3"/>
        <w:numPr>
          <w:ilvl w:val="0"/>
          <w:numId w:val="21"/>
        </w:numPr>
        <w:ind w:hanging="720"/>
      </w:pPr>
      <w:r w:rsidRPr="004F1625">
        <w:t>Context</w:t>
      </w:r>
    </w:p>
    <w:p w:rsidR="009570BA" w:rsidRDefault="009570BA" w:rsidP="005500D6">
      <w:pPr>
        <w:spacing w:beforeLines="120" w:before="288"/>
        <w:contextualSpacing/>
        <w:rPr>
          <w:rFonts w:cs="Arial"/>
          <w:color w:val="000000"/>
        </w:rPr>
      </w:pPr>
      <w:r w:rsidRPr="004F1625">
        <w:rPr>
          <w:rFonts w:cs="Arial"/>
          <w:color w:val="000000"/>
        </w:rPr>
        <w:t>The Bologna Framework</w:t>
      </w:r>
      <w:r>
        <w:rPr>
          <w:rFonts w:cs="Arial"/>
          <w:color w:val="000000"/>
        </w:rPr>
        <w:t>, adopted by the Ministers for Education in 47 countries, including Ireland,</w:t>
      </w:r>
      <w:r w:rsidRPr="004F1625">
        <w:rPr>
          <w:rFonts w:cs="Arial"/>
          <w:color w:val="000000"/>
        </w:rPr>
        <w:t xml:space="preserve"> provide</w:t>
      </w:r>
      <w:r>
        <w:rPr>
          <w:rFonts w:cs="Arial"/>
          <w:color w:val="000000"/>
        </w:rPr>
        <w:t>s</w:t>
      </w:r>
      <w:r w:rsidRPr="004F1625">
        <w:rPr>
          <w:rFonts w:cs="Arial"/>
          <w:color w:val="000000"/>
        </w:rPr>
        <w:t xml:space="preserve"> a mechanism </w:t>
      </w:r>
      <w:r>
        <w:rPr>
          <w:rFonts w:cs="Arial"/>
          <w:color w:val="000000"/>
        </w:rPr>
        <w:t xml:space="preserve">that provides comparability of standards and qualifications across the signatory countries and promotes mobility in education. </w:t>
      </w:r>
    </w:p>
    <w:p w:rsidR="009570BA" w:rsidRDefault="009570BA" w:rsidP="005500D6">
      <w:pPr>
        <w:spacing w:beforeLines="120" w:before="288"/>
        <w:contextualSpacing/>
        <w:rPr>
          <w:color w:val="000000"/>
        </w:rPr>
      </w:pPr>
      <w:r w:rsidRPr="004F1625">
        <w:rPr>
          <w:color w:val="000000"/>
        </w:rPr>
        <w:t xml:space="preserve">Parallel to these developments </w:t>
      </w:r>
      <w:r>
        <w:rPr>
          <w:color w:val="000000"/>
        </w:rPr>
        <w:t xml:space="preserve">the European Qualifications Frameworks for Lifelong Learning (EQF) provided an overarching qualifications framework, or common European reference framework, which links countries’ qualification systems together, acting as a translation device to make qualifications more readable and understandable across different countries and systems in Europe. </w:t>
      </w:r>
    </w:p>
    <w:p w:rsidR="009570BA" w:rsidRDefault="009570BA" w:rsidP="005500D6">
      <w:pPr>
        <w:spacing w:beforeLines="120" w:before="288"/>
        <w:contextualSpacing/>
        <w:rPr>
          <w:color w:val="000000"/>
        </w:rPr>
      </w:pPr>
      <w:r>
        <w:rPr>
          <w:color w:val="000000"/>
        </w:rPr>
        <w:t>The alignment of these frameworks is given below</w:t>
      </w:r>
      <w:r w:rsidR="00052CDF">
        <w:rPr>
          <w:color w:val="000000"/>
        </w:rPr>
        <w:t>.</w:t>
      </w:r>
    </w:p>
    <w:p w:rsidR="005500D6" w:rsidRDefault="005500D6" w:rsidP="005500D6">
      <w:pPr>
        <w:spacing w:beforeLines="120" w:before="288"/>
        <w:contextualSpacing/>
        <w:rPr>
          <w:color w:val="000000"/>
        </w:rPr>
      </w:pPr>
    </w:p>
    <w:p w:rsidR="005500D6" w:rsidRDefault="00052CDF" w:rsidP="005500D6">
      <w:pPr>
        <w:spacing w:beforeLines="120" w:before="288"/>
        <w:contextualSpacing/>
        <w:rPr>
          <w:rFonts w:cs="Arial"/>
          <w:b/>
          <w:color w:val="000000"/>
        </w:rPr>
      </w:pPr>
      <w:r w:rsidRPr="00052CDF">
        <w:rPr>
          <w:rFonts w:cs="Arial"/>
          <w:b/>
          <w:color w:val="000000"/>
        </w:rPr>
        <w:t>Relationship between the Irish National Framework of Qualifications, the Bologna Framework of the EHEA and the European Framework of Qualifications</w:t>
      </w:r>
    </w:p>
    <w:p w:rsidR="003A7C2C" w:rsidRDefault="003A7C2C" w:rsidP="005500D6">
      <w:pPr>
        <w:spacing w:beforeLines="120" w:before="288"/>
        <w:contextualSpacing/>
        <w:rPr>
          <w:rFonts w:cs="Arial"/>
          <w:b/>
          <w:color w:val="000000"/>
        </w:rPr>
      </w:pPr>
    </w:p>
    <w:tbl>
      <w:tblPr>
        <w:tblStyle w:val="TableGrid"/>
        <w:tblpPr w:leftFromText="180" w:rightFromText="180" w:vertAnchor="page" w:horzAnchor="margin" w:tblpY="9271"/>
        <w:tblW w:w="0" w:type="auto"/>
        <w:tblLayout w:type="fixed"/>
        <w:tblLook w:val="04A0" w:firstRow="1" w:lastRow="0" w:firstColumn="1" w:lastColumn="0" w:noHBand="0" w:noVBand="1"/>
      </w:tblPr>
      <w:tblGrid>
        <w:gridCol w:w="918"/>
        <w:gridCol w:w="2430"/>
        <w:gridCol w:w="1260"/>
        <w:gridCol w:w="3060"/>
        <w:gridCol w:w="1170"/>
      </w:tblGrid>
      <w:tr w:rsidR="00DE6D6A" w:rsidTr="00DE6D6A">
        <w:tc>
          <w:tcPr>
            <w:tcW w:w="918" w:type="dxa"/>
            <w:shd w:val="clear" w:color="auto" w:fill="8DB3E2" w:themeFill="text2" w:themeFillTint="66"/>
          </w:tcPr>
          <w:p w:rsidR="00DE6D6A" w:rsidRPr="00546E33" w:rsidRDefault="00DE6D6A" w:rsidP="00DE6D6A">
            <w:pPr>
              <w:jc w:val="center"/>
              <w:rPr>
                <w:b/>
              </w:rPr>
            </w:pPr>
            <w:r w:rsidRPr="00546E33">
              <w:rPr>
                <w:b/>
              </w:rPr>
              <w:t>EQF Levels</w:t>
            </w:r>
          </w:p>
        </w:tc>
        <w:tc>
          <w:tcPr>
            <w:tcW w:w="2430" w:type="dxa"/>
            <w:shd w:val="clear" w:color="auto" w:fill="FFFF00"/>
          </w:tcPr>
          <w:p w:rsidR="00DE6D6A" w:rsidRPr="00546E33" w:rsidRDefault="00DE6D6A" w:rsidP="00DE6D6A">
            <w:pPr>
              <w:jc w:val="center"/>
              <w:rPr>
                <w:b/>
              </w:rPr>
            </w:pPr>
            <w:r w:rsidRPr="00546E33">
              <w:rPr>
                <w:b/>
              </w:rPr>
              <w:t>Bologna Framework</w:t>
            </w:r>
          </w:p>
        </w:tc>
        <w:tc>
          <w:tcPr>
            <w:tcW w:w="1260" w:type="dxa"/>
            <w:shd w:val="clear" w:color="auto" w:fill="00B050"/>
          </w:tcPr>
          <w:p w:rsidR="00DE6D6A" w:rsidRPr="00546E33" w:rsidRDefault="00DE6D6A" w:rsidP="00DE6D6A">
            <w:pPr>
              <w:jc w:val="center"/>
              <w:rPr>
                <w:b/>
              </w:rPr>
            </w:pPr>
            <w:r w:rsidRPr="00546E33">
              <w:rPr>
                <w:b/>
              </w:rPr>
              <w:t>Irish Framework Levels</w:t>
            </w:r>
          </w:p>
        </w:tc>
        <w:tc>
          <w:tcPr>
            <w:tcW w:w="3060" w:type="dxa"/>
            <w:shd w:val="clear" w:color="auto" w:fill="D6E3BC" w:themeFill="accent3" w:themeFillTint="66"/>
          </w:tcPr>
          <w:p w:rsidR="00DE6D6A" w:rsidRPr="00546E33" w:rsidRDefault="00DE6D6A" w:rsidP="00DE6D6A">
            <w:pPr>
              <w:jc w:val="center"/>
              <w:rPr>
                <w:b/>
              </w:rPr>
            </w:pPr>
            <w:r w:rsidRPr="00546E33">
              <w:rPr>
                <w:b/>
              </w:rPr>
              <w:t>Irish Major Award-Types</w:t>
            </w:r>
          </w:p>
        </w:tc>
        <w:tc>
          <w:tcPr>
            <w:tcW w:w="1170" w:type="dxa"/>
            <w:shd w:val="clear" w:color="auto" w:fill="C6D9F1" w:themeFill="text2" w:themeFillTint="33"/>
          </w:tcPr>
          <w:p w:rsidR="00DE6D6A" w:rsidRPr="00546E33" w:rsidRDefault="00DE6D6A" w:rsidP="00DE6D6A">
            <w:pPr>
              <w:jc w:val="center"/>
              <w:rPr>
                <w:b/>
              </w:rPr>
            </w:pPr>
            <w:r w:rsidRPr="00546E33">
              <w:rPr>
                <w:b/>
              </w:rPr>
              <w:t>ECTS</w:t>
            </w:r>
          </w:p>
        </w:tc>
      </w:tr>
      <w:tr w:rsidR="00DE6D6A" w:rsidTr="00DE6D6A">
        <w:tc>
          <w:tcPr>
            <w:tcW w:w="918" w:type="dxa"/>
            <w:shd w:val="clear" w:color="auto" w:fill="8DB3E2" w:themeFill="text2" w:themeFillTint="66"/>
            <w:vAlign w:val="center"/>
          </w:tcPr>
          <w:p w:rsidR="00DE6D6A" w:rsidRDefault="00DE6D6A" w:rsidP="00DE6D6A">
            <w:pPr>
              <w:jc w:val="center"/>
            </w:pPr>
            <w:r>
              <w:t>1</w:t>
            </w:r>
          </w:p>
        </w:tc>
        <w:tc>
          <w:tcPr>
            <w:tcW w:w="2430" w:type="dxa"/>
            <w:shd w:val="clear" w:color="auto" w:fill="FFFF00"/>
            <w:vAlign w:val="center"/>
          </w:tcPr>
          <w:p w:rsidR="00DE6D6A" w:rsidRDefault="00DE6D6A" w:rsidP="00DE6D6A">
            <w:pPr>
              <w:jc w:val="center"/>
            </w:pPr>
          </w:p>
        </w:tc>
        <w:tc>
          <w:tcPr>
            <w:tcW w:w="1260" w:type="dxa"/>
            <w:shd w:val="clear" w:color="auto" w:fill="00B050"/>
            <w:vAlign w:val="center"/>
          </w:tcPr>
          <w:p w:rsidR="00DE6D6A" w:rsidRDefault="00DE6D6A" w:rsidP="00DE6D6A">
            <w:pPr>
              <w:jc w:val="center"/>
            </w:pPr>
            <w:r>
              <w:t>1</w:t>
            </w:r>
          </w:p>
        </w:tc>
        <w:tc>
          <w:tcPr>
            <w:tcW w:w="3060" w:type="dxa"/>
            <w:shd w:val="clear" w:color="auto" w:fill="D6E3BC" w:themeFill="accent3" w:themeFillTint="66"/>
          </w:tcPr>
          <w:p w:rsidR="00DE6D6A" w:rsidRDefault="00DE6D6A" w:rsidP="00DE6D6A">
            <w:r>
              <w:t>Level 1 Certificate</w:t>
            </w:r>
          </w:p>
        </w:tc>
        <w:tc>
          <w:tcPr>
            <w:tcW w:w="1170" w:type="dxa"/>
            <w:shd w:val="clear" w:color="auto" w:fill="C6D9F1" w:themeFill="text2" w:themeFillTint="33"/>
          </w:tcPr>
          <w:p w:rsidR="00DE6D6A" w:rsidRDefault="00DE6D6A" w:rsidP="00DE6D6A"/>
        </w:tc>
      </w:tr>
      <w:tr w:rsidR="00DE6D6A" w:rsidTr="00DE6D6A">
        <w:trPr>
          <w:trHeight w:val="135"/>
        </w:trPr>
        <w:tc>
          <w:tcPr>
            <w:tcW w:w="918" w:type="dxa"/>
            <w:vMerge w:val="restart"/>
            <w:shd w:val="clear" w:color="auto" w:fill="8DB3E2" w:themeFill="text2" w:themeFillTint="66"/>
            <w:vAlign w:val="center"/>
          </w:tcPr>
          <w:p w:rsidR="00DE6D6A" w:rsidRDefault="00DE6D6A" w:rsidP="00DE6D6A">
            <w:pPr>
              <w:jc w:val="center"/>
            </w:pPr>
            <w:r>
              <w:t>2</w:t>
            </w:r>
          </w:p>
        </w:tc>
        <w:tc>
          <w:tcPr>
            <w:tcW w:w="2430" w:type="dxa"/>
            <w:vMerge w:val="restart"/>
            <w:shd w:val="clear" w:color="auto" w:fill="FFFF00"/>
            <w:vAlign w:val="center"/>
          </w:tcPr>
          <w:p w:rsidR="00DE6D6A" w:rsidRDefault="00DE6D6A" w:rsidP="00DE6D6A">
            <w:pPr>
              <w:jc w:val="center"/>
            </w:pPr>
          </w:p>
        </w:tc>
        <w:tc>
          <w:tcPr>
            <w:tcW w:w="1260" w:type="dxa"/>
            <w:shd w:val="clear" w:color="auto" w:fill="00B050"/>
            <w:vAlign w:val="center"/>
          </w:tcPr>
          <w:p w:rsidR="00DE6D6A" w:rsidRDefault="00DE6D6A" w:rsidP="00DE6D6A">
            <w:pPr>
              <w:jc w:val="center"/>
            </w:pPr>
            <w:r>
              <w:t>2</w:t>
            </w:r>
          </w:p>
        </w:tc>
        <w:tc>
          <w:tcPr>
            <w:tcW w:w="3060" w:type="dxa"/>
            <w:shd w:val="clear" w:color="auto" w:fill="D6E3BC" w:themeFill="accent3" w:themeFillTint="66"/>
          </w:tcPr>
          <w:p w:rsidR="00DE6D6A" w:rsidRDefault="00DE6D6A" w:rsidP="00DE6D6A">
            <w:r>
              <w:t>Level 2 Certificate</w:t>
            </w:r>
          </w:p>
        </w:tc>
        <w:tc>
          <w:tcPr>
            <w:tcW w:w="1170" w:type="dxa"/>
            <w:shd w:val="clear" w:color="auto" w:fill="C6D9F1" w:themeFill="text2" w:themeFillTint="33"/>
          </w:tcPr>
          <w:p w:rsidR="00DE6D6A" w:rsidRDefault="00DE6D6A" w:rsidP="00DE6D6A"/>
        </w:tc>
      </w:tr>
      <w:tr w:rsidR="00DE6D6A" w:rsidTr="00DE6D6A">
        <w:trPr>
          <w:trHeight w:val="135"/>
        </w:trPr>
        <w:tc>
          <w:tcPr>
            <w:tcW w:w="918" w:type="dxa"/>
            <w:vMerge/>
            <w:shd w:val="clear" w:color="auto" w:fill="8DB3E2" w:themeFill="text2" w:themeFillTint="66"/>
            <w:vAlign w:val="center"/>
          </w:tcPr>
          <w:p w:rsidR="00DE6D6A" w:rsidRDefault="00DE6D6A" w:rsidP="00DE6D6A">
            <w:pPr>
              <w:jc w:val="center"/>
            </w:pPr>
          </w:p>
        </w:tc>
        <w:tc>
          <w:tcPr>
            <w:tcW w:w="2430" w:type="dxa"/>
            <w:vMerge/>
            <w:shd w:val="clear" w:color="auto" w:fill="FFFF00"/>
            <w:vAlign w:val="center"/>
          </w:tcPr>
          <w:p w:rsidR="00DE6D6A" w:rsidRDefault="00DE6D6A" w:rsidP="00DE6D6A">
            <w:pPr>
              <w:jc w:val="center"/>
            </w:pPr>
          </w:p>
        </w:tc>
        <w:tc>
          <w:tcPr>
            <w:tcW w:w="1260" w:type="dxa"/>
            <w:shd w:val="clear" w:color="auto" w:fill="00B050"/>
            <w:vAlign w:val="center"/>
          </w:tcPr>
          <w:p w:rsidR="00DE6D6A" w:rsidRDefault="00DE6D6A" w:rsidP="00DE6D6A">
            <w:pPr>
              <w:jc w:val="center"/>
            </w:pPr>
            <w:r>
              <w:t>3</w:t>
            </w:r>
          </w:p>
        </w:tc>
        <w:tc>
          <w:tcPr>
            <w:tcW w:w="3060" w:type="dxa"/>
            <w:shd w:val="clear" w:color="auto" w:fill="D6E3BC" w:themeFill="accent3" w:themeFillTint="66"/>
          </w:tcPr>
          <w:p w:rsidR="00DE6D6A" w:rsidRDefault="00DE6D6A" w:rsidP="00DE6D6A">
            <w:r>
              <w:t>Level 3 Certificate, Junior Certificate</w:t>
            </w:r>
          </w:p>
        </w:tc>
        <w:tc>
          <w:tcPr>
            <w:tcW w:w="1170" w:type="dxa"/>
            <w:shd w:val="clear" w:color="auto" w:fill="C6D9F1" w:themeFill="text2" w:themeFillTint="33"/>
          </w:tcPr>
          <w:p w:rsidR="00DE6D6A" w:rsidRDefault="00DE6D6A" w:rsidP="00DE6D6A"/>
        </w:tc>
      </w:tr>
      <w:tr w:rsidR="00DE6D6A" w:rsidTr="00DE6D6A">
        <w:tc>
          <w:tcPr>
            <w:tcW w:w="918" w:type="dxa"/>
            <w:shd w:val="clear" w:color="auto" w:fill="8DB3E2" w:themeFill="text2" w:themeFillTint="66"/>
            <w:vAlign w:val="center"/>
          </w:tcPr>
          <w:p w:rsidR="00DE6D6A" w:rsidRDefault="00DE6D6A" w:rsidP="00DE6D6A">
            <w:pPr>
              <w:jc w:val="center"/>
            </w:pPr>
            <w:r>
              <w:t>3</w:t>
            </w:r>
          </w:p>
        </w:tc>
        <w:tc>
          <w:tcPr>
            <w:tcW w:w="2430" w:type="dxa"/>
            <w:shd w:val="clear" w:color="auto" w:fill="FFFF00"/>
            <w:vAlign w:val="center"/>
          </w:tcPr>
          <w:p w:rsidR="00DE6D6A" w:rsidRDefault="00DE6D6A" w:rsidP="00DE6D6A">
            <w:pPr>
              <w:jc w:val="center"/>
            </w:pPr>
          </w:p>
        </w:tc>
        <w:tc>
          <w:tcPr>
            <w:tcW w:w="1260" w:type="dxa"/>
            <w:shd w:val="clear" w:color="auto" w:fill="00B050"/>
            <w:vAlign w:val="center"/>
          </w:tcPr>
          <w:p w:rsidR="00DE6D6A" w:rsidRDefault="00DE6D6A" w:rsidP="00DE6D6A">
            <w:pPr>
              <w:jc w:val="center"/>
            </w:pPr>
            <w:r>
              <w:t>4</w:t>
            </w:r>
          </w:p>
        </w:tc>
        <w:tc>
          <w:tcPr>
            <w:tcW w:w="3060" w:type="dxa"/>
            <w:shd w:val="clear" w:color="auto" w:fill="D6E3BC" w:themeFill="accent3" w:themeFillTint="66"/>
          </w:tcPr>
          <w:p w:rsidR="00DE6D6A" w:rsidRDefault="00DE6D6A" w:rsidP="00DE6D6A">
            <w:r>
              <w:t>Level 4 Certificate, Leaving Certificate</w:t>
            </w:r>
          </w:p>
        </w:tc>
        <w:tc>
          <w:tcPr>
            <w:tcW w:w="1170" w:type="dxa"/>
            <w:shd w:val="clear" w:color="auto" w:fill="C6D9F1" w:themeFill="text2" w:themeFillTint="33"/>
          </w:tcPr>
          <w:p w:rsidR="00DE6D6A" w:rsidRDefault="00DE6D6A" w:rsidP="00DE6D6A"/>
        </w:tc>
      </w:tr>
      <w:tr w:rsidR="00DE6D6A" w:rsidTr="00DE6D6A">
        <w:trPr>
          <w:trHeight w:val="135"/>
        </w:trPr>
        <w:tc>
          <w:tcPr>
            <w:tcW w:w="918" w:type="dxa"/>
            <w:shd w:val="clear" w:color="auto" w:fill="8DB3E2" w:themeFill="text2" w:themeFillTint="66"/>
            <w:vAlign w:val="center"/>
          </w:tcPr>
          <w:p w:rsidR="00DE6D6A" w:rsidRDefault="00DE6D6A" w:rsidP="00DE6D6A">
            <w:pPr>
              <w:jc w:val="center"/>
            </w:pPr>
            <w:r>
              <w:t>4</w:t>
            </w:r>
          </w:p>
        </w:tc>
        <w:tc>
          <w:tcPr>
            <w:tcW w:w="2430" w:type="dxa"/>
            <w:shd w:val="clear" w:color="auto" w:fill="FFFF00"/>
            <w:vAlign w:val="center"/>
          </w:tcPr>
          <w:p w:rsidR="00DE6D6A" w:rsidRDefault="00DE6D6A" w:rsidP="00DE6D6A">
            <w:pPr>
              <w:jc w:val="center"/>
            </w:pPr>
          </w:p>
        </w:tc>
        <w:tc>
          <w:tcPr>
            <w:tcW w:w="1260" w:type="dxa"/>
            <w:shd w:val="clear" w:color="auto" w:fill="00B050"/>
            <w:vAlign w:val="center"/>
          </w:tcPr>
          <w:p w:rsidR="00DE6D6A" w:rsidRDefault="00DE6D6A" w:rsidP="00DE6D6A">
            <w:pPr>
              <w:jc w:val="center"/>
            </w:pPr>
            <w:r>
              <w:t>5</w:t>
            </w:r>
          </w:p>
        </w:tc>
        <w:tc>
          <w:tcPr>
            <w:tcW w:w="3060" w:type="dxa"/>
            <w:shd w:val="clear" w:color="auto" w:fill="D6E3BC" w:themeFill="accent3" w:themeFillTint="66"/>
          </w:tcPr>
          <w:p w:rsidR="00DE6D6A" w:rsidRDefault="00DE6D6A" w:rsidP="00DE6D6A">
            <w:r>
              <w:t>Level 5 Certificate, Leaving Certificate</w:t>
            </w:r>
          </w:p>
        </w:tc>
        <w:tc>
          <w:tcPr>
            <w:tcW w:w="1170" w:type="dxa"/>
            <w:shd w:val="clear" w:color="auto" w:fill="C6D9F1" w:themeFill="text2" w:themeFillTint="33"/>
          </w:tcPr>
          <w:p w:rsidR="00DE6D6A" w:rsidRDefault="00DE6D6A" w:rsidP="00DE6D6A"/>
        </w:tc>
      </w:tr>
      <w:tr w:rsidR="00DE6D6A" w:rsidTr="00DE6D6A">
        <w:tc>
          <w:tcPr>
            <w:tcW w:w="918" w:type="dxa"/>
            <w:shd w:val="clear" w:color="auto" w:fill="8DB3E2" w:themeFill="text2" w:themeFillTint="66"/>
            <w:vAlign w:val="center"/>
          </w:tcPr>
          <w:p w:rsidR="00DE6D6A" w:rsidRDefault="00DE6D6A" w:rsidP="00DE6D6A">
            <w:pPr>
              <w:jc w:val="center"/>
            </w:pPr>
            <w:r>
              <w:t>5</w:t>
            </w:r>
          </w:p>
        </w:tc>
        <w:tc>
          <w:tcPr>
            <w:tcW w:w="2430" w:type="dxa"/>
            <w:shd w:val="clear" w:color="auto" w:fill="FFFF00"/>
            <w:vAlign w:val="center"/>
          </w:tcPr>
          <w:p w:rsidR="00DE6D6A" w:rsidRDefault="00DE6D6A" w:rsidP="00DE6D6A">
            <w:pPr>
              <w:jc w:val="center"/>
            </w:pPr>
            <w:r>
              <w:t>Short Cycle within First Cycle</w:t>
            </w:r>
          </w:p>
        </w:tc>
        <w:tc>
          <w:tcPr>
            <w:tcW w:w="1260" w:type="dxa"/>
            <w:shd w:val="clear" w:color="auto" w:fill="00B050"/>
            <w:vAlign w:val="center"/>
          </w:tcPr>
          <w:p w:rsidR="00DE6D6A" w:rsidRDefault="00DE6D6A" w:rsidP="00DE6D6A">
            <w:pPr>
              <w:jc w:val="center"/>
            </w:pPr>
            <w:r>
              <w:t>6</w:t>
            </w:r>
          </w:p>
        </w:tc>
        <w:tc>
          <w:tcPr>
            <w:tcW w:w="3060" w:type="dxa"/>
            <w:shd w:val="clear" w:color="auto" w:fill="D6E3BC" w:themeFill="accent3" w:themeFillTint="66"/>
          </w:tcPr>
          <w:p w:rsidR="00DE6D6A" w:rsidRDefault="00DE6D6A" w:rsidP="00DE6D6A">
            <w:r>
              <w:t>Advanced Certificate</w:t>
            </w:r>
          </w:p>
          <w:p w:rsidR="00DE6D6A" w:rsidRPr="00546E33" w:rsidRDefault="00DE6D6A" w:rsidP="00DE6D6A">
            <w:pPr>
              <w:rPr>
                <w:b/>
              </w:rPr>
            </w:pPr>
            <w:r w:rsidRPr="00546E33">
              <w:rPr>
                <w:b/>
              </w:rPr>
              <w:t>Higher Certificate</w:t>
            </w:r>
          </w:p>
        </w:tc>
        <w:tc>
          <w:tcPr>
            <w:tcW w:w="1170" w:type="dxa"/>
            <w:shd w:val="clear" w:color="auto" w:fill="C6D9F1" w:themeFill="text2" w:themeFillTint="33"/>
          </w:tcPr>
          <w:p w:rsidR="00DE6D6A" w:rsidRDefault="00DE6D6A" w:rsidP="00DE6D6A">
            <w:pPr>
              <w:jc w:val="right"/>
            </w:pPr>
          </w:p>
          <w:p w:rsidR="00DE6D6A" w:rsidRDefault="00DE6D6A" w:rsidP="00DE6D6A">
            <w:pPr>
              <w:jc w:val="right"/>
            </w:pPr>
            <w:r>
              <w:t>60</w:t>
            </w:r>
          </w:p>
        </w:tc>
      </w:tr>
      <w:tr w:rsidR="00DE6D6A" w:rsidTr="00DE6D6A">
        <w:trPr>
          <w:trHeight w:val="135"/>
        </w:trPr>
        <w:tc>
          <w:tcPr>
            <w:tcW w:w="918" w:type="dxa"/>
            <w:vMerge w:val="restart"/>
            <w:shd w:val="clear" w:color="auto" w:fill="8DB3E2" w:themeFill="text2" w:themeFillTint="66"/>
            <w:vAlign w:val="center"/>
          </w:tcPr>
          <w:p w:rsidR="00DE6D6A" w:rsidRDefault="00DE6D6A" w:rsidP="00DE6D6A">
            <w:pPr>
              <w:jc w:val="center"/>
            </w:pPr>
            <w:r>
              <w:t>6</w:t>
            </w:r>
          </w:p>
        </w:tc>
        <w:tc>
          <w:tcPr>
            <w:tcW w:w="2430" w:type="dxa"/>
            <w:vMerge w:val="restart"/>
            <w:shd w:val="clear" w:color="auto" w:fill="FFFF00"/>
            <w:vAlign w:val="center"/>
          </w:tcPr>
          <w:p w:rsidR="00DE6D6A" w:rsidRDefault="00DE6D6A" w:rsidP="00DE6D6A">
            <w:pPr>
              <w:jc w:val="center"/>
            </w:pPr>
            <w:r>
              <w:t>First Cycle</w:t>
            </w:r>
          </w:p>
        </w:tc>
        <w:tc>
          <w:tcPr>
            <w:tcW w:w="1260" w:type="dxa"/>
            <w:shd w:val="clear" w:color="auto" w:fill="00B050"/>
            <w:vAlign w:val="center"/>
          </w:tcPr>
          <w:p w:rsidR="00DE6D6A" w:rsidRDefault="00DE6D6A" w:rsidP="00DE6D6A">
            <w:pPr>
              <w:jc w:val="center"/>
            </w:pPr>
            <w:r>
              <w:t>7</w:t>
            </w:r>
          </w:p>
        </w:tc>
        <w:tc>
          <w:tcPr>
            <w:tcW w:w="3060" w:type="dxa"/>
            <w:shd w:val="clear" w:color="auto" w:fill="D6E3BC" w:themeFill="accent3" w:themeFillTint="66"/>
          </w:tcPr>
          <w:p w:rsidR="00DE6D6A" w:rsidRPr="00546E33" w:rsidRDefault="00DE6D6A" w:rsidP="00DE6D6A">
            <w:pPr>
              <w:rPr>
                <w:b/>
              </w:rPr>
            </w:pPr>
            <w:r w:rsidRPr="00546E33">
              <w:rPr>
                <w:b/>
              </w:rPr>
              <w:t>Ordinary Bachelor Degree</w:t>
            </w:r>
          </w:p>
        </w:tc>
        <w:tc>
          <w:tcPr>
            <w:tcW w:w="1170" w:type="dxa"/>
            <w:shd w:val="clear" w:color="auto" w:fill="C6D9F1" w:themeFill="text2" w:themeFillTint="33"/>
          </w:tcPr>
          <w:p w:rsidR="00DE6D6A" w:rsidRDefault="00DE6D6A" w:rsidP="00DE6D6A">
            <w:pPr>
              <w:jc w:val="right"/>
            </w:pPr>
            <w:r>
              <w:t>180</w:t>
            </w:r>
          </w:p>
        </w:tc>
      </w:tr>
      <w:tr w:rsidR="00DE6D6A" w:rsidTr="00DE6D6A">
        <w:trPr>
          <w:trHeight w:val="135"/>
        </w:trPr>
        <w:tc>
          <w:tcPr>
            <w:tcW w:w="918" w:type="dxa"/>
            <w:vMerge/>
            <w:shd w:val="clear" w:color="auto" w:fill="8DB3E2" w:themeFill="text2" w:themeFillTint="66"/>
            <w:vAlign w:val="center"/>
          </w:tcPr>
          <w:p w:rsidR="00DE6D6A" w:rsidRDefault="00DE6D6A" w:rsidP="00DE6D6A">
            <w:pPr>
              <w:jc w:val="center"/>
            </w:pPr>
          </w:p>
        </w:tc>
        <w:tc>
          <w:tcPr>
            <w:tcW w:w="2430" w:type="dxa"/>
            <w:vMerge/>
            <w:shd w:val="clear" w:color="auto" w:fill="FFFF00"/>
            <w:vAlign w:val="center"/>
          </w:tcPr>
          <w:p w:rsidR="00DE6D6A" w:rsidRDefault="00DE6D6A" w:rsidP="00DE6D6A">
            <w:pPr>
              <w:jc w:val="center"/>
            </w:pPr>
          </w:p>
        </w:tc>
        <w:tc>
          <w:tcPr>
            <w:tcW w:w="1260" w:type="dxa"/>
            <w:shd w:val="clear" w:color="auto" w:fill="00B050"/>
            <w:vAlign w:val="center"/>
          </w:tcPr>
          <w:p w:rsidR="00DE6D6A" w:rsidRDefault="00DE6D6A" w:rsidP="00DE6D6A">
            <w:pPr>
              <w:jc w:val="center"/>
            </w:pPr>
            <w:r>
              <w:t>8</w:t>
            </w:r>
          </w:p>
        </w:tc>
        <w:tc>
          <w:tcPr>
            <w:tcW w:w="3060" w:type="dxa"/>
            <w:shd w:val="clear" w:color="auto" w:fill="D6E3BC" w:themeFill="accent3" w:themeFillTint="66"/>
          </w:tcPr>
          <w:p w:rsidR="00DE6D6A" w:rsidRPr="00546E33" w:rsidRDefault="00DE6D6A" w:rsidP="00DE6D6A">
            <w:pPr>
              <w:rPr>
                <w:b/>
              </w:rPr>
            </w:pPr>
            <w:r w:rsidRPr="00546E33">
              <w:rPr>
                <w:b/>
              </w:rPr>
              <w:t>Honours Bachelor Degree, Higher Diploma</w:t>
            </w:r>
          </w:p>
        </w:tc>
        <w:tc>
          <w:tcPr>
            <w:tcW w:w="1170" w:type="dxa"/>
            <w:shd w:val="clear" w:color="auto" w:fill="C6D9F1" w:themeFill="text2" w:themeFillTint="33"/>
          </w:tcPr>
          <w:p w:rsidR="00DE6D6A" w:rsidRDefault="00DE6D6A" w:rsidP="00DE6D6A">
            <w:pPr>
              <w:jc w:val="right"/>
            </w:pPr>
            <w:r>
              <w:t>180 – 240</w:t>
            </w:r>
          </w:p>
          <w:p w:rsidR="00DE6D6A" w:rsidRDefault="00DE6D6A" w:rsidP="00DE6D6A">
            <w:pPr>
              <w:jc w:val="right"/>
            </w:pPr>
            <w:r>
              <w:t>60</w:t>
            </w:r>
          </w:p>
        </w:tc>
      </w:tr>
      <w:tr w:rsidR="00DE6D6A" w:rsidTr="00DE6D6A">
        <w:tc>
          <w:tcPr>
            <w:tcW w:w="918" w:type="dxa"/>
            <w:shd w:val="clear" w:color="auto" w:fill="8DB3E2" w:themeFill="text2" w:themeFillTint="66"/>
            <w:vAlign w:val="center"/>
          </w:tcPr>
          <w:p w:rsidR="00DE6D6A" w:rsidRDefault="00DE6D6A" w:rsidP="00DE6D6A">
            <w:pPr>
              <w:jc w:val="center"/>
            </w:pPr>
            <w:r>
              <w:t>7</w:t>
            </w:r>
          </w:p>
        </w:tc>
        <w:tc>
          <w:tcPr>
            <w:tcW w:w="2430" w:type="dxa"/>
            <w:shd w:val="clear" w:color="auto" w:fill="FFFF00"/>
            <w:vAlign w:val="center"/>
          </w:tcPr>
          <w:p w:rsidR="00DE6D6A" w:rsidRDefault="00DE6D6A" w:rsidP="00DE6D6A">
            <w:pPr>
              <w:jc w:val="center"/>
            </w:pPr>
            <w:r>
              <w:t>Second Cycle</w:t>
            </w:r>
          </w:p>
        </w:tc>
        <w:tc>
          <w:tcPr>
            <w:tcW w:w="1260" w:type="dxa"/>
            <w:shd w:val="clear" w:color="auto" w:fill="00B050"/>
            <w:vAlign w:val="center"/>
          </w:tcPr>
          <w:p w:rsidR="00DE6D6A" w:rsidRDefault="00DE6D6A" w:rsidP="00DE6D6A">
            <w:pPr>
              <w:jc w:val="center"/>
            </w:pPr>
            <w:r>
              <w:t>9</w:t>
            </w:r>
          </w:p>
        </w:tc>
        <w:tc>
          <w:tcPr>
            <w:tcW w:w="3060" w:type="dxa"/>
            <w:shd w:val="clear" w:color="auto" w:fill="D6E3BC" w:themeFill="accent3" w:themeFillTint="66"/>
          </w:tcPr>
          <w:p w:rsidR="00DE6D6A" w:rsidRPr="00546E33" w:rsidRDefault="00852526" w:rsidP="00DE6D6A">
            <w:pPr>
              <w:rPr>
                <w:b/>
              </w:rPr>
            </w:pPr>
            <w:r w:rsidRPr="00546E33">
              <w:rPr>
                <w:b/>
              </w:rPr>
              <w:t>Master’s</w:t>
            </w:r>
            <w:r w:rsidR="00DE6D6A" w:rsidRPr="00546E33">
              <w:rPr>
                <w:b/>
              </w:rPr>
              <w:t xml:space="preserve"> Degree (taught),</w:t>
            </w:r>
          </w:p>
          <w:p w:rsidR="00DE6D6A" w:rsidRPr="00546E33" w:rsidRDefault="00DE6D6A" w:rsidP="00DE6D6A">
            <w:pPr>
              <w:rPr>
                <w:b/>
              </w:rPr>
            </w:pPr>
            <w:r w:rsidRPr="00546E33">
              <w:rPr>
                <w:b/>
              </w:rPr>
              <w:t>Post-Graduate Diploma</w:t>
            </w:r>
          </w:p>
        </w:tc>
        <w:tc>
          <w:tcPr>
            <w:tcW w:w="1170" w:type="dxa"/>
            <w:shd w:val="clear" w:color="auto" w:fill="C6D9F1" w:themeFill="text2" w:themeFillTint="33"/>
          </w:tcPr>
          <w:p w:rsidR="00DE6D6A" w:rsidRDefault="00DE6D6A" w:rsidP="00DE6D6A">
            <w:pPr>
              <w:jc w:val="right"/>
            </w:pPr>
            <w:r>
              <w:t>60 – 120</w:t>
            </w:r>
          </w:p>
          <w:p w:rsidR="00DE6D6A" w:rsidRDefault="00DE6D6A" w:rsidP="00DE6D6A">
            <w:pPr>
              <w:jc w:val="right"/>
            </w:pPr>
            <w:r>
              <w:t>60</w:t>
            </w:r>
          </w:p>
        </w:tc>
      </w:tr>
      <w:tr w:rsidR="00DE6D6A" w:rsidTr="00DE6D6A">
        <w:tc>
          <w:tcPr>
            <w:tcW w:w="918" w:type="dxa"/>
            <w:shd w:val="clear" w:color="auto" w:fill="8DB3E2" w:themeFill="text2" w:themeFillTint="66"/>
            <w:vAlign w:val="center"/>
          </w:tcPr>
          <w:p w:rsidR="00DE6D6A" w:rsidRDefault="00DE6D6A" w:rsidP="00DE6D6A">
            <w:pPr>
              <w:jc w:val="center"/>
            </w:pPr>
            <w:r>
              <w:t>8</w:t>
            </w:r>
          </w:p>
        </w:tc>
        <w:tc>
          <w:tcPr>
            <w:tcW w:w="2430" w:type="dxa"/>
            <w:shd w:val="clear" w:color="auto" w:fill="FFFF00"/>
            <w:vAlign w:val="center"/>
          </w:tcPr>
          <w:p w:rsidR="00DE6D6A" w:rsidRDefault="00DE6D6A" w:rsidP="00DE6D6A">
            <w:pPr>
              <w:jc w:val="center"/>
            </w:pPr>
            <w:r>
              <w:t>Third Cycle</w:t>
            </w:r>
          </w:p>
        </w:tc>
        <w:tc>
          <w:tcPr>
            <w:tcW w:w="1260" w:type="dxa"/>
            <w:shd w:val="clear" w:color="auto" w:fill="00B050"/>
            <w:vAlign w:val="center"/>
          </w:tcPr>
          <w:p w:rsidR="00DE6D6A" w:rsidRDefault="00DE6D6A" w:rsidP="00DE6D6A">
            <w:pPr>
              <w:jc w:val="center"/>
            </w:pPr>
            <w:r>
              <w:t>10</w:t>
            </w:r>
          </w:p>
        </w:tc>
        <w:tc>
          <w:tcPr>
            <w:tcW w:w="3060" w:type="dxa"/>
            <w:shd w:val="clear" w:color="auto" w:fill="D6E3BC" w:themeFill="accent3" w:themeFillTint="66"/>
          </w:tcPr>
          <w:p w:rsidR="00DE6D6A" w:rsidRPr="00546E33" w:rsidRDefault="00DE6D6A" w:rsidP="00DE6D6A">
            <w:pPr>
              <w:rPr>
                <w:b/>
              </w:rPr>
            </w:pPr>
            <w:r w:rsidRPr="00546E33">
              <w:rPr>
                <w:b/>
              </w:rPr>
              <w:t>Doctoral Degree, Higher Doctorate</w:t>
            </w:r>
          </w:p>
        </w:tc>
        <w:tc>
          <w:tcPr>
            <w:tcW w:w="1170" w:type="dxa"/>
            <w:shd w:val="clear" w:color="auto" w:fill="C6D9F1" w:themeFill="text2" w:themeFillTint="33"/>
          </w:tcPr>
          <w:p w:rsidR="00DE6D6A" w:rsidRDefault="00DE6D6A" w:rsidP="00DE6D6A"/>
        </w:tc>
      </w:tr>
    </w:tbl>
    <w:p w:rsidR="005500D6" w:rsidRPr="00052CDF" w:rsidRDefault="005500D6" w:rsidP="00052CDF">
      <w:pPr>
        <w:spacing w:before="120"/>
        <w:ind w:right="-1"/>
        <w:rPr>
          <w:rFonts w:cs="Arial"/>
          <w:b/>
          <w:color w:val="000000"/>
        </w:rPr>
      </w:pPr>
    </w:p>
    <w:p w:rsidR="00052CDF" w:rsidRPr="00BA5BCB" w:rsidRDefault="00052CDF" w:rsidP="009570BA">
      <w:pPr>
        <w:spacing w:before="120"/>
        <w:ind w:right="-1"/>
        <w:rPr>
          <w:rFonts w:cs="Arial"/>
          <w:color w:val="000000"/>
        </w:rPr>
      </w:pPr>
      <w:r w:rsidRPr="00052CDF">
        <w:rPr>
          <w:rFonts w:cs="Arial"/>
          <w:color w:val="000000"/>
        </w:rPr>
        <w:t xml:space="preserve">Note:  </w:t>
      </w:r>
      <w:r w:rsidRPr="00052CDF">
        <w:rPr>
          <w:rFonts w:cs="Arial"/>
          <w:color w:val="000000"/>
        </w:rPr>
        <w:tab/>
        <w:t>Higher Education awards are shown in bold. The Advanced Certificate at level 6 is a Further Education and not a Higher Education award</w:t>
      </w:r>
    </w:p>
    <w:p w:rsidR="009570BA" w:rsidRPr="004F1625" w:rsidRDefault="009570BA" w:rsidP="005C2321">
      <w:pPr>
        <w:pStyle w:val="Heading3"/>
        <w:numPr>
          <w:ilvl w:val="0"/>
          <w:numId w:val="21"/>
        </w:numPr>
        <w:ind w:hanging="720"/>
      </w:pPr>
      <w:r w:rsidRPr="004F1625">
        <w:lastRenderedPageBreak/>
        <w:t>The European Credit Transfer and Accumulation System</w:t>
      </w:r>
    </w:p>
    <w:p w:rsidR="005500D6" w:rsidRDefault="009570BA" w:rsidP="005500D6">
      <w:pPr>
        <w:spacing w:beforeLines="120" w:before="288"/>
        <w:contextualSpacing/>
        <w:rPr>
          <w:rFonts w:cs="Arial"/>
          <w:color w:val="000000"/>
        </w:rPr>
      </w:pPr>
      <w:r w:rsidRPr="004F1625">
        <w:rPr>
          <w:rFonts w:cs="Arial"/>
          <w:color w:val="000000"/>
        </w:rPr>
        <w:t>The European Credit Transfer and Accumulation System (ECTS) is the credit system for higher education applied on the European Higher Education Area. ECTS is a learner-centred system of credit accumulation and transfer based on the transparency of the learning outcomes and learning processe</w:t>
      </w:r>
      <w:r>
        <w:rPr>
          <w:rFonts w:cs="Arial"/>
          <w:color w:val="000000"/>
        </w:rPr>
        <w:t>s. ECTS credits are based on a notional</w:t>
      </w:r>
      <w:r w:rsidRPr="004F1625">
        <w:rPr>
          <w:rFonts w:cs="Arial"/>
          <w:color w:val="000000"/>
        </w:rPr>
        <w:t xml:space="preserve"> workload </w:t>
      </w:r>
      <w:r w:rsidR="00E623BF">
        <w:rPr>
          <w:rFonts w:cs="Arial"/>
          <w:color w:val="000000"/>
        </w:rPr>
        <w:t>(</w:t>
      </w:r>
      <w:r>
        <w:rPr>
          <w:rFonts w:cs="Arial"/>
          <w:color w:val="000000"/>
        </w:rPr>
        <w:t xml:space="preserve">a proxy for the average amount of time a student would need to achieve the intended learning outcomes and includes all learning activities such as lectures, seminars, projects, practical work, self-study and examinations). </w:t>
      </w:r>
      <w:r w:rsidRPr="004F1625">
        <w:rPr>
          <w:rFonts w:cs="Arial"/>
          <w:color w:val="000000"/>
        </w:rPr>
        <w:t xml:space="preserve"> </w:t>
      </w:r>
      <w:r w:rsidRPr="004F1625">
        <w:rPr>
          <w:rFonts w:cs="Arial"/>
          <w:color w:val="000000"/>
          <w:u w:val="single"/>
        </w:rPr>
        <w:t>Learning outcomes</w:t>
      </w:r>
      <w:r w:rsidRPr="004F1625">
        <w:rPr>
          <w:rFonts w:cs="Arial"/>
          <w:color w:val="000000"/>
        </w:rPr>
        <w:t xml:space="preserve"> describe what a learner is expected to know, understand and be able to do after successful completion of a process of learning. They relate to level descriptors in national and European qualifications frameworks.  </w:t>
      </w:r>
      <w:r w:rsidRPr="004F1625">
        <w:rPr>
          <w:rFonts w:cs="Arial"/>
          <w:color w:val="000000"/>
          <w:u w:val="single"/>
        </w:rPr>
        <w:t>Workload</w:t>
      </w:r>
      <w:r w:rsidRPr="004F1625">
        <w:rPr>
          <w:rFonts w:cs="Arial"/>
          <w:color w:val="000000"/>
        </w:rPr>
        <w:t xml:space="preserve"> indicates the time students typically need to complete all learning activities (such as lectures, seminars, projects, practical work, self-study and examinations) required to achieve the expected learning outcomes. </w:t>
      </w:r>
    </w:p>
    <w:p w:rsidR="005500D6" w:rsidRPr="004F1625" w:rsidRDefault="005500D6" w:rsidP="005500D6">
      <w:pPr>
        <w:spacing w:beforeLines="120" w:before="288"/>
        <w:contextualSpacing/>
        <w:rPr>
          <w:rFonts w:cs="Arial"/>
          <w:color w:val="000000"/>
        </w:rPr>
      </w:pPr>
    </w:p>
    <w:p w:rsidR="00CB7769" w:rsidRDefault="009570BA" w:rsidP="005500D6">
      <w:pPr>
        <w:spacing w:beforeLines="120" w:before="288"/>
        <w:contextualSpacing/>
        <w:rPr>
          <w:rFonts w:cs="Arial"/>
          <w:color w:val="000000"/>
        </w:rPr>
      </w:pPr>
      <w:r w:rsidRPr="004F1625">
        <w:rPr>
          <w:rFonts w:cs="Arial"/>
          <w:color w:val="000000"/>
          <w:u w:val="single"/>
        </w:rPr>
        <w:t>60 ECTS credits</w:t>
      </w:r>
      <w:r w:rsidRPr="004F1625">
        <w:rPr>
          <w:rFonts w:cs="Arial"/>
          <w:color w:val="000000"/>
        </w:rPr>
        <w:t xml:space="preserve"> are attached to the workload of a full-time year of formal learning (academic year) and the associated learning outcomes. In most cases, student workload ranges from 1,500 to 1,800 hours for an academic year, wher</w:t>
      </w:r>
      <w:r>
        <w:rPr>
          <w:rFonts w:cs="Arial"/>
          <w:color w:val="000000"/>
        </w:rPr>
        <w:t>eby one credit corresponds to 20</w:t>
      </w:r>
      <w:r w:rsidRPr="004F1625">
        <w:rPr>
          <w:rFonts w:cs="Arial"/>
          <w:color w:val="000000"/>
        </w:rPr>
        <w:t xml:space="preserve"> to 30 hours of work.</w:t>
      </w:r>
      <w:r>
        <w:rPr>
          <w:rFonts w:cs="Arial"/>
          <w:color w:val="000000"/>
        </w:rPr>
        <w:t xml:space="preserve"> </w:t>
      </w:r>
    </w:p>
    <w:p w:rsidR="009570BA" w:rsidRDefault="009570BA" w:rsidP="005500D6">
      <w:pPr>
        <w:spacing w:beforeLines="120" w:before="288"/>
        <w:contextualSpacing/>
        <w:rPr>
          <w:rFonts w:cs="Arial"/>
          <w:color w:val="000000"/>
        </w:rPr>
      </w:pPr>
      <w:r w:rsidRPr="004F1625">
        <w:rPr>
          <w:rFonts w:cs="Arial"/>
          <w:color w:val="000000"/>
        </w:rPr>
        <w:t xml:space="preserve">The ECTS is implemented in IT Sligo to facilitate credit transfer and accumulation and to ensure that the time demands on students are reasonable, using available time and resources to the best effect. In this context, the ECTS ensures compatibility and consistency of learning outcomes, Levels and credits for modules taken across a wide range of disciplines. </w:t>
      </w:r>
    </w:p>
    <w:p w:rsidR="005500D6" w:rsidRPr="004F1625" w:rsidRDefault="005500D6" w:rsidP="005500D6">
      <w:pPr>
        <w:spacing w:beforeLines="120" w:before="288"/>
        <w:contextualSpacing/>
        <w:rPr>
          <w:rFonts w:cs="Arial"/>
          <w:color w:val="000000"/>
        </w:rPr>
      </w:pPr>
    </w:p>
    <w:p w:rsidR="009570BA" w:rsidRPr="004F1625" w:rsidRDefault="009570BA" w:rsidP="005500D6">
      <w:pPr>
        <w:spacing w:beforeLines="120" w:before="288"/>
        <w:contextualSpacing/>
        <w:rPr>
          <w:rFonts w:cs="Arial"/>
          <w:color w:val="000000"/>
        </w:rPr>
      </w:pPr>
      <w:r w:rsidRPr="004F1625">
        <w:rPr>
          <w:rFonts w:cs="Arial"/>
          <w:color w:val="000000"/>
        </w:rPr>
        <w:t>A final component of the Bologna process is the requirement for a HEI to provide Diploma Supplements (DS) to its graduates. The DS is a document attached to a higher education award parchment aiming at improving international ‘transparency’ and at facilitating the academic and professional recognition of qualifications. It is designed</w:t>
      </w:r>
      <w:r>
        <w:rPr>
          <w:rFonts w:cs="Arial"/>
          <w:color w:val="000000"/>
        </w:rPr>
        <w:t xml:space="preserve"> according to a national template, and aims</w:t>
      </w:r>
      <w:r w:rsidRPr="004F1625">
        <w:rPr>
          <w:rFonts w:cs="Arial"/>
          <w:color w:val="000000"/>
        </w:rPr>
        <w:t xml:space="preserve"> to provide a description of the nature, level, context, content and status of the studies that were successfully completed by the individual named on the original qualification to which this supplement is appended. It is provided automatically and free of charge to every graduate of the Institute.</w:t>
      </w:r>
    </w:p>
    <w:p w:rsidR="009570BA" w:rsidRDefault="009570BA" w:rsidP="00B55AC5">
      <w:pPr>
        <w:pStyle w:val="Heading3"/>
        <w:numPr>
          <w:ilvl w:val="0"/>
          <w:numId w:val="21"/>
        </w:numPr>
        <w:ind w:hanging="720"/>
      </w:pPr>
      <w:r w:rsidRPr="004F1625">
        <w:t>Quality Assurance Policy</w:t>
      </w:r>
    </w:p>
    <w:p w:rsidR="009570BA" w:rsidRDefault="009570BA" w:rsidP="005500D6">
      <w:pPr>
        <w:spacing w:beforeLines="120" w:before="288"/>
        <w:contextualSpacing/>
        <w:rPr>
          <w:rFonts w:cs="Arial"/>
          <w:color w:val="000000"/>
        </w:rPr>
      </w:pPr>
      <w:r w:rsidRPr="004F1625">
        <w:rPr>
          <w:rFonts w:cs="Arial"/>
          <w:color w:val="000000"/>
        </w:rPr>
        <w:t>It is the policy of IT Sligo to have procedures in place to ensure that the quality of its programmes and awards meet the internal specifications and those of other bodies empowered to make specifications.</w:t>
      </w:r>
    </w:p>
    <w:p w:rsidR="005500D6" w:rsidRDefault="005500D6" w:rsidP="005500D6">
      <w:pPr>
        <w:spacing w:beforeLines="120" w:before="288"/>
        <w:contextualSpacing/>
        <w:rPr>
          <w:rFonts w:cs="Arial"/>
          <w:color w:val="000000"/>
        </w:rPr>
      </w:pPr>
    </w:p>
    <w:p w:rsidR="005500D6" w:rsidRPr="00362DB4" w:rsidRDefault="009570BA" w:rsidP="00CD5F60">
      <w:pPr>
        <w:spacing w:beforeLines="120" w:before="288"/>
        <w:contextualSpacing/>
        <w:rPr>
          <w:rFonts w:cs="Arial"/>
          <w:color w:val="000000" w:themeColor="text1"/>
        </w:rPr>
      </w:pPr>
      <w:r w:rsidRPr="00362DB4">
        <w:rPr>
          <w:rFonts w:cs="Arial"/>
          <w:color w:val="000000" w:themeColor="text1"/>
        </w:rPr>
        <w:t xml:space="preserve">The Quality Assurance policy is framed within the context of the </w:t>
      </w:r>
      <w:hyperlink r:id="rId33" w:history="1">
        <w:r w:rsidR="00343055" w:rsidRPr="002B156D">
          <w:rPr>
            <w:rStyle w:val="Hyperlink"/>
            <w:rFonts w:cs="Arial"/>
          </w:rPr>
          <w:t xml:space="preserve">Standards and Guidelines for Quality Assurance in the European </w:t>
        </w:r>
        <w:r w:rsidR="002B156D" w:rsidRPr="002B156D">
          <w:rPr>
            <w:rStyle w:val="Hyperlink"/>
            <w:rFonts w:cs="Arial"/>
          </w:rPr>
          <w:t>Higher Education</w:t>
        </w:r>
        <w:r w:rsidR="00A56C5D" w:rsidRPr="002B156D">
          <w:rPr>
            <w:rStyle w:val="Hyperlink"/>
            <w:rFonts w:cs="Arial"/>
          </w:rPr>
          <w:t xml:space="preserve"> </w:t>
        </w:r>
        <w:r w:rsidR="00343055" w:rsidRPr="002B156D">
          <w:rPr>
            <w:rStyle w:val="Hyperlink"/>
            <w:rFonts w:cs="Arial"/>
          </w:rPr>
          <w:t>Area (</w:t>
        </w:r>
        <w:r w:rsidRPr="002B156D">
          <w:rPr>
            <w:rStyle w:val="Hyperlink"/>
            <w:rFonts w:cs="Arial"/>
          </w:rPr>
          <w:t>ESG</w:t>
        </w:r>
        <w:r w:rsidR="00343055" w:rsidRPr="002B156D">
          <w:rPr>
            <w:rStyle w:val="Hyperlink"/>
            <w:rFonts w:cs="Arial"/>
          </w:rPr>
          <w:t>)</w:t>
        </w:r>
      </w:hyperlink>
      <w:r w:rsidRPr="00362DB4">
        <w:rPr>
          <w:rFonts w:cs="Arial"/>
          <w:color w:val="000000" w:themeColor="text1"/>
        </w:rPr>
        <w:t>, the Quality and Qualifications Act 2012 and the determinations of QQI.</w:t>
      </w:r>
    </w:p>
    <w:p w:rsidR="009570BA" w:rsidRPr="00CD5F60" w:rsidRDefault="009570BA" w:rsidP="00CD5F60">
      <w:pPr>
        <w:pStyle w:val="ListParagraph"/>
        <w:numPr>
          <w:ilvl w:val="0"/>
          <w:numId w:val="23"/>
        </w:numPr>
        <w:spacing w:beforeLines="120" w:before="288"/>
        <w:ind w:left="360"/>
        <w:rPr>
          <w:rFonts w:cs="Arial"/>
          <w:color w:val="000000" w:themeColor="text1"/>
          <w:lang w:val="en-GB"/>
        </w:rPr>
      </w:pPr>
      <w:r w:rsidRPr="00CD5F60">
        <w:rPr>
          <w:rFonts w:cs="Arial"/>
          <w:color w:val="000000" w:themeColor="text1"/>
          <w:lang w:val="en-GB"/>
        </w:rPr>
        <w:t>It is informed by the mission, vision and strategic development of the institute (ref current Strategic Plan, proposals for TUQF and draft ISO draft International standards for QA in Education)</w:t>
      </w:r>
    </w:p>
    <w:p w:rsidR="009570BA" w:rsidRPr="00852526" w:rsidRDefault="009570BA" w:rsidP="00CD5F60">
      <w:pPr>
        <w:pStyle w:val="ListParagraph"/>
        <w:numPr>
          <w:ilvl w:val="0"/>
          <w:numId w:val="23"/>
        </w:numPr>
        <w:spacing w:beforeLines="120" w:before="288"/>
        <w:ind w:left="360"/>
        <w:rPr>
          <w:rFonts w:cs="Arial"/>
          <w:color w:val="000000" w:themeColor="text1"/>
          <w:lang w:val="en-GB"/>
        </w:rPr>
      </w:pPr>
      <w:r w:rsidRPr="00852526">
        <w:rPr>
          <w:rFonts w:cs="Arial"/>
          <w:color w:val="000000" w:themeColor="text1"/>
          <w:lang w:val="en-GB"/>
        </w:rPr>
        <w:t>Is designed to ensure the quality of awards, programmes and the teaching and learning process</w:t>
      </w:r>
    </w:p>
    <w:p w:rsidR="009570BA" w:rsidRPr="00CD5F60" w:rsidRDefault="009570BA" w:rsidP="00CD5F60">
      <w:pPr>
        <w:pStyle w:val="ListParagraph"/>
        <w:numPr>
          <w:ilvl w:val="0"/>
          <w:numId w:val="23"/>
        </w:numPr>
        <w:spacing w:beforeLines="120" w:before="288"/>
        <w:ind w:left="360"/>
        <w:rPr>
          <w:rFonts w:cs="Arial"/>
          <w:color w:val="000000" w:themeColor="text1"/>
          <w:lang w:val="en-GB"/>
        </w:rPr>
      </w:pPr>
      <w:r w:rsidRPr="00CD5F60">
        <w:rPr>
          <w:rFonts w:cs="Arial"/>
          <w:color w:val="000000" w:themeColor="text1"/>
          <w:lang w:val="en-GB"/>
        </w:rPr>
        <w:lastRenderedPageBreak/>
        <w:t>It provides for openness, transparency and accountability in the work of the institute</w:t>
      </w:r>
      <w:r w:rsidR="005500D6" w:rsidRPr="00CD5F60">
        <w:rPr>
          <w:rFonts w:cs="Arial"/>
          <w:color w:val="000000" w:themeColor="text1"/>
          <w:lang w:val="en-GB"/>
        </w:rPr>
        <w:t>.</w:t>
      </w:r>
    </w:p>
    <w:p w:rsidR="009570BA" w:rsidRPr="00CD5F60" w:rsidRDefault="009570BA" w:rsidP="00CD5F60">
      <w:pPr>
        <w:pStyle w:val="ListParagraph"/>
        <w:numPr>
          <w:ilvl w:val="0"/>
          <w:numId w:val="23"/>
        </w:numPr>
        <w:spacing w:beforeLines="120" w:before="288"/>
        <w:ind w:left="360"/>
        <w:rPr>
          <w:rFonts w:cs="Arial"/>
          <w:color w:val="000000" w:themeColor="text1"/>
          <w:lang w:val="en-GB"/>
        </w:rPr>
      </w:pPr>
      <w:r w:rsidRPr="00CD5F60">
        <w:rPr>
          <w:rFonts w:cs="Arial"/>
          <w:color w:val="000000" w:themeColor="text1"/>
          <w:lang w:val="en-GB"/>
        </w:rPr>
        <w:t>It is subject to continuous review and improvement underpinned by evidence based analysis</w:t>
      </w:r>
    </w:p>
    <w:p w:rsidR="009570BA" w:rsidRPr="00CD5F60" w:rsidRDefault="009570BA" w:rsidP="00CD5F60">
      <w:pPr>
        <w:pStyle w:val="ListParagraph"/>
        <w:numPr>
          <w:ilvl w:val="0"/>
          <w:numId w:val="23"/>
        </w:numPr>
        <w:spacing w:beforeLines="120" w:before="288"/>
        <w:ind w:left="360"/>
        <w:rPr>
          <w:rFonts w:cs="Arial"/>
          <w:color w:val="000000" w:themeColor="text1"/>
          <w:lang w:val="en-GB"/>
        </w:rPr>
      </w:pPr>
      <w:r w:rsidRPr="00CD5F60">
        <w:rPr>
          <w:rFonts w:cs="Arial"/>
          <w:color w:val="000000" w:themeColor="text1"/>
          <w:lang w:val="en-GB"/>
        </w:rPr>
        <w:t>It is published and available publicly</w:t>
      </w:r>
    </w:p>
    <w:p w:rsidR="009570BA" w:rsidRPr="00CD5F60" w:rsidRDefault="009570BA" w:rsidP="00CD5F60">
      <w:pPr>
        <w:pStyle w:val="ListParagraph"/>
        <w:numPr>
          <w:ilvl w:val="0"/>
          <w:numId w:val="23"/>
        </w:numPr>
        <w:spacing w:beforeLines="120" w:before="288"/>
        <w:ind w:left="360"/>
        <w:rPr>
          <w:bCs/>
          <w:iCs/>
          <w:color w:val="000000"/>
          <w:lang w:val="en-GB"/>
        </w:rPr>
      </w:pPr>
      <w:r w:rsidRPr="00CD5F60">
        <w:rPr>
          <w:bCs/>
          <w:iCs/>
          <w:color w:val="000000"/>
          <w:lang w:val="en-GB"/>
        </w:rPr>
        <w:t xml:space="preserve">The learning process in IT Sligo is student centred. Quality assurance policy and procedures underpin this by incorporating within overarching policy the specific </w:t>
      </w:r>
      <w:r w:rsidR="00F16004" w:rsidRPr="00CD5F60">
        <w:rPr>
          <w:bCs/>
          <w:iCs/>
          <w:color w:val="000000"/>
          <w:lang w:val="en-GB"/>
        </w:rPr>
        <w:t>requirement of</w:t>
      </w:r>
      <w:r w:rsidRPr="00CD5F60">
        <w:rPr>
          <w:bCs/>
          <w:iCs/>
          <w:color w:val="000000"/>
          <w:lang w:val="en-GB"/>
        </w:rPr>
        <w:t xml:space="preserve"> IT Sligo that all learners:</w:t>
      </w:r>
    </w:p>
    <w:p w:rsidR="009570BA" w:rsidRPr="00852526" w:rsidRDefault="009570BA" w:rsidP="005500D6">
      <w:pPr>
        <w:numPr>
          <w:ilvl w:val="0"/>
          <w:numId w:val="4"/>
        </w:numPr>
        <w:spacing w:beforeLines="120" w:before="288"/>
        <w:ind w:hanging="360"/>
        <w:contextualSpacing/>
        <w:rPr>
          <w:bCs/>
          <w:iCs/>
          <w:color w:val="000000"/>
          <w:lang w:val="en-GB"/>
        </w:rPr>
      </w:pPr>
      <w:r w:rsidRPr="00852526">
        <w:rPr>
          <w:bCs/>
          <w:iCs/>
          <w:color w:val="000000"/>
          <w:lang w:val="en-GB"/>
        </w:rPr>
        <w:t>Are treated fairly, consistently and with courtesy and respect</w:t>
      </w:r>
    </w:p>
    <w:p w:rsidR="009570BA" w:rsidRPr="004921D5" w:rsidRDefault="009570BA" w:rsidP="005500D6">
      <w:pPr>
        <w:numPr>
          <w:ilvl w:val="0"/>
          <w:numId w:val="4"/>
        </w:numPr>
        <w:spacing w:beforeLines="120" w:before="288"/>
        <w:ind w:hanging="360"/>
        <w:contextualSpacing/>
        <w:rPr>
          <w:bCs/>
          <w:iCs/>
          <w:color w:val="000000"/>
          <w:lang w:val="en-GB"/>
        </w:rPr>
      </w:pPr>
      <w:r w:rsidRPr="004921D5">
        <w:rPr>
          <w:bCs/>
          <w:iCs/>
          <w:color w:val="000000"/>
          <w:lang w:val="en-GB"/>
        </w:rPr>
        <w:t>Are enabled to provide feedback about their academic experience</w:t>
      </w:r>
    </w:p>
    <w:p w:rsidR="009570BA" w:rsidRPr="004921D5" w:rsidRDefault="009570BA" w:rsidP="005500D6">
      <w:pPr>
        <w:numPr>
          <w:ilvl w:val="0"/>
          <w:numId w:val="4"/>
        </w:numPr>
        <w:spacing w:beforeLines="120" w:before="288"/>
        <w:ind w:hanging="360"/>
        <w:contextualSpacing/>
        <w:rPr>
          <w:bCs/>
          <w:iCs/>
          <w:color w:val="000000"/>
          <w:lang w:val="en-GB"/>
        </w:rPr>
      </w:pPr>
      <w:r w:rsidRPr="004921D5">
        <w:rPr>
          <w:bCs/>
          <w:iCs/>
          <w:color w:val="000000"/>
          <w:lang w:val="en-GB"/>
        </w:rPr>
        <w:t>Will have opportunities, as appropriate,  to participate in committees</w:t>
      </w:r>
    </w:p>
    <w:p w:rsidR="009570BA" w:rsidRPr="004921D5" w:rsidRDefault="009570BA" w:rsidP="005500D6">
      <w:pPr>
        <w:numPr>
          <w:ilvl w:val="0"/>
          <w:numId w:val="4"/>
        </w:numPr>
        <w:spacing w:beforeLines="120" w:before="288"/>
        <w:ind w:hanging="360"/>
        <w:contextualSpacing/>
        <w:rPr>
          <w:bCs/>
          <w:iCs/>
          <w:color w:val="000000"/>
          <w:lang w:val="en-GB"/>
        </w:rPr>
      </w:pPr>
      <w:r w:rsidRPr="004921D5">
        <w:rPr>
          <w:bCs/>
          <w:color w:val="000000"/>
        </w:rPr>
        <w:t xml:space="preserve">While acknowledging competing demands on the </w:t>
      </w:r>
      <w:r w:rsidR="00B94CDA">
        <w:rPr>
          <w:bCs/>
          <w:color w:val="000000"/>
        </w:rPr>
        <w:t>budget, will</w:t>
      </w:r>
      <w:r w:rsidRPr="00B94CDA">
        <w:rPr>
          <w:bCs/>
          <w:color w:val="000000"/>
          <w:lang w:val="en-GB"/>
        </w:rPr>
        <w:t xml:space="preserve"> have </w:t>
      </w:r>
      <w:r w:rsidRPr="00B94CDA">
        <w:rPr>
          <w:bCs/>
          <w:color w:val="000000"/>
        </w:rPr>
        <w:t>access</w:t>
      </w:r>
      <w:r w:rsidRPr="004921D5">
        <w:rPr>
          <w:bCs/>
          <w:color w:val="000000"/>
        </w:rPr>
        <w:t xml:space="preserve"> to the best student support services t</w:t>
      </w:r>
      <w:r w:rsidR="00E623BF">
        <w:rPr>
          <w:bCs/>
          <w:color w:val="000000"/>
        </w:rPr>
        <w:t>hat the I</w:t>
      </w:r>
      <w:r w:rsidR="00B94CDA">
        <w:rPr>
          <w:bCs/>
          <w:color w:val="000000"/>
        </w:rPr>
        <w:t>nstitute can provide</w:t>
      </w:r>
      <w:r w:rsidRPr="004921D5">
        <w:rPr>
          <w:bCs/>
          <w:color w:val="000000"/>
        </w:rPr>
        <w:t xml:space="preserve">. </w:t>
      </w:r>
    </w:p>
    <w:p w:rsidR="00852526" w:rsidRDefault="009570BA" w:rsidP="00852526">
      <w:pPr>
        <w:numPr>
          <w:ilvl w:val="0"/>
          <w:numId w:val="4"/>
        </w:numPr>
        <w:spacing w:beforeLines="120" w:before="288"/>
        <w:ind w:hanging="360"/>
        <w:contextualSpacing/>
        <w:rPr>
          <w:bCs/>
          <w:iCs/>
          <w:color w:val="000000"/>
          <w:lang w:val="en-GB"/>
        </w:rPr>
      </w:pPr>
      <w:r w:rsidRPr="004921D5">
        <w:rPr>
          <w:bCs/>
          <w:iCs/>
          <w:color w:val="000000"/>
          <w:lang w:val="en-GB"/>
        </w:rPr>
        <w:t>to student suppo</w:t>
      </w:r>
      <w:r w:rsidR="00E623BF">
        <w:rPr>
          <w:bCs/>
          <w:iCs/>
          <w:color w:val="000000"/>
          <w:lang w:val="en-GB"/>
        </w:rPr>
        <w:t>rt services as provided by the I</w:t>
      </w:r>
      <w:r w:rsidRPr="004921D5">
        <w:rPr>
          <w:bCs/>
          <w:iCs/>
          <w:color w:val="000000"/>
          <w:lang w:val="en-GB"/>
        </w:rPr>
        <w:t>nstitute</w:t>
      </w:r>
    </w:p>
    <w:p w:rsidR="00852526" w:rsidRDefault="009570BA" w:rsidP="00852526">
      <w:pPr>
        <w:numPr>
          <w:ilvl w:val="0"/>
          <w:numId w:val="4"/>
        </w:numPr>
        <w:spacing w:beforeLines="120" w:before="288"/>
        <w:ind w:hanging="360"/>
        <w:contextualSpacing/>
        <w:rPr>
          <w:bCs/>
          <w:iCs/>
          <w:color w:val="000000"/>
          <w:lang w:val="en-GB"/>
        </w:rPr>
      </w:pPr>
      <w:r w:rsidRPr="00852526">
        <w:rPr>
          <w:bCs/>
          <w:iCs/>
          <w:color w:val="000000"/>
          <w:lang w:val="en-GB"/>
        </w:rPr>
        <w:t xml:space="preserve">Are provided with useful and relevant </w:t>
      </w:r>
      <w:bookmarkStart w:id="31" w:name="_GoBack"/>
      <w:bookmarkEnd w:id="31"/>
      <w:r w:rsidRPr="00852526">
        <w:rPr>
          <w:bCs/>
          <w:iCs/>
          <w:color w:val="000000"/>
          <w:lang w:val="en-GB"/>
        </w:rPr>
        <w:t>information in relation to courses</w:t>
      </w:r>
      <w:r w:rsidR="00852526">
        <w:rPr>
          <w:bCs/>
          <w:iCs/>
          <w:color w:val="000000"/>
          <w:lang w:val="en-GB"/>
        </w:rPr>
        <w:t>.</w:t>
      </w:r>
    </w:p>
    <w:p w:rsidR="009570BA" w:rsidRPr="00852526" w:rsidRDefault="00852526" w:rsidP="00852526">
      <w:pPr>
        <w:numPr>
          <w:ilvl w:val="0"/>
          <w:numId w:val="4"/>
        </w:numPr>
        <w:spacing w:beforeLines="120" w:before="288"/>
        <w:ind w:hanging="360"/>
        <w:contextualSpacing/>
        <w:rPr>
          <w:bCs/>
          <w:iCs/>
          <w:color w:val="000000"/>
          <w:lang w:val="en-GB"/>
        </w:rPr>
      </w:pPr>
      <w:r w:rsidRPr="00852526">
        <w:rPr>
          <w:bCs/>
          <w:iCs/>
          <w:color w:val="000000"/>
          <w:lang w:val="en-GB"/>
        </w:rPr>
        <w:t>Will receive information on programme content, assessment procedures and expectations.</w:t>
      </w:r>
    </w:p>
    <w:p w:rsidR="009570BA" w:rsidRPr="004921D5" w:rsidRDefault="009570BA" w:rsidP="005500D6">
      <w:pPr>
        <w:numPr>
          <w:ilvl w:val="0"/>
          <w:numId w:val="4"/>
        </w:numPr>
        <w:spacing w:beforeLines="120" w:before="288"/>
        <w:ind w:hanging="360"/>
        <w:contextualSpacing/>
        <w:rPr>
          <w:bCs/>
          <w:iCs/>
          <w:color w:val="000000"/>
          <w:lang w:val="en-GB"/>
        </w:rPr>
      </w:pPr>
      <w:r w:rsidRPr="004921D5">
        <w:rPr>
          <w:bCs/>
          <w:iCs/>
          <w:color w:val="000000"/>
          <w:lang w:val="en-GB"/>
        </w:rPr>
        <w:t>Will be provided with the relevant institutional regulations and the appropriate penalties for breach of regulations</w:t>
      </w:r>
    </w:p>
    <w:p w:rsidR="009570BA" w:rsidRPr="004921D5" w:rsidRDefault="009570BA" w:rsidP="005500D6">
      <w:pPr>
        <w:numPr>
          <w:ilvl w:val="0"/>
          <w:numId w:val="4"/>
        </w:numPr>
        <w:spacing w:beforeLines="120" w:before="288"/>
        <w:ind w:hanging="360"/>
        <w:contextualSpacing/>
        <w:rPr>
          <w:bCs/>
          <w:iCs/>
          <w:color w:val="000000"/>
          <w:lang w:val="en-GB"/>
        </w:rPr>
      </w:pPr>
      <w:r w:rsidRPr="004921D5">
        <w:rPr>
          <w:bCs/>
          <w:iCs/>
          <w:color w:val="000000"/>
          <w:lang w:val="en-GB"/>
        </w:rPr>
        <w:t>Are exposed to a variety of teaching methodologies</w:t>
      </w:r>
    </w:p>
    <w:p w:rsidR="009570BA" w:rsidRPr="004921D5" w:rsidRDefault="009570BA" w:rsidP="005500D6">
      <w:pPr>
        <w:numPr>
          <w:ilvl w:val="0"/>
          <w:numId w:val="4"/>
        </w:numPr>
        <w:spacing w:beforeLines="120" w:before="288"/>
        <w:ind w:hanging="360"/>
        <w:contextualSpacing/>
        <w:rPr>
          <w:bCs/>
          <w:iCs/>
          <w:color w:val="000000"/>
          <w:lang w:val="en-GB"/>
        </w:rPr>
      </w:pPr>
      <w:r w:rsidRPr="004921D5">
        <w:rPr>
          <w:bCs/>
          <w:iCs/>
          <w:color w:val="000000"/>
          <w:lang w:val="en-GB"/>
        </w:rPr>
        <w:t>Will have reasonable access to lecturing staff for individual consultation</w:t>
      </w:r>
    </w:p>
    <w:p w:rsidR="009570BA" w:rsidRPr="004921D5" w:rsidRDefault="009570BA" w:rsidP="005500D6">
      <w:pPr>
        <w:numPr>
          <w:ilvl w:val="0"/>
          <w:numId w:val="4"/>
        </w:numPr>
        <w:spacing w:beforeLines="120" w:before="288"/>
        <w:ind w:hanging="360"/>
        <w:contextualSpacing/>
        <w:rPr>
          <w:bCs/>
          <w:iCs/>
          <w:color w:val="000000"/>
          <w:lang w:val="en-GB"/>
        </w:rPr>
      </w:pPr>
      <w:r w:rsidRPr="004921D5">
        <w:rPr>
          <w:bCs/>
          <w:iCs/>
          <w:color w:val="000000"/>
          <w:lang w:val="en-GB"/>
        </w:rPr>
        <w:t>Will receive a course timetable</w:t>
      </w:r>
    </w:p>
    <w:p w:rsidR="00852526" w:rsidRPr="00852526" w:rsidRDefault="00852526" w:rsidP="00852526">
      <w:pPr>
        <w:numPr>
          <w:ilvl w:val="0"/>
          <w:numId w:val="4"/>
        </w:numPr>
        <w:spacing w:beforeLines="120" w:before="288"/>
        <w:ind w:hanging="360"/>
        <w:contextualSpacing/>
        <w:rPr>
          <w:bCs/>
          <w:iCs/>
          <w:color w:val="000000"/>
          <w:lang w:val="en-GB"/>
        </w:rPr>
      </w:pPr>
      <w:r w:rsidRPr="00852526">
        <w:rPr>
          <w:bCs/>
          <w:iCs/>
          <w:color w:val="000000"/>
          <w:lang w:val="en-GB"/>
        </w:rPr>
        <w:t xml:space="preserve">Will receive timely, specific and adequate feedback on assessments. </w:t>
      </w:r>
    </w:p>
    <w:p w:rsidR="009570BA" w:rsidRPr="00852526" w:rsidRDefault="009570BA" w:rsidP="00852526">
      <w:pPr>
        <w:numPr>
          <w:ilvl w:val="0"/>
          <w:numId w:val="4"/>
        </w:numPr>
        <w:spacing w:beforeLines="120" w:before="288"/>
        <w:ind w:hanging="360"/>
        <w:contextualSpacing/>
        <w:rPr>
          <w:bCs/>
          <w:iCs/>
          <w:color w:val="000000"/>
          <w:lang w:val="en-GB"/>
        </w:rPr>
      </w:pPr>
      <w:r w:rsidRPr="00852526">
        <w:rPr>
          <w:bCs/>
          <w:iCs/>
          <w:color w:val="000000"/>
          <w:lang w:val="en-GB"/>
        </w:rPr>
        <w:t>Will have access to all relevant policies and procedures and that procedures will be in place to cater for all substantiated mitigating circumstances in deciding a student’s progression.</w:t>
      </w:r>
    </w:p>
    <w:p w:rsidR="009570BA" w:rsidRDefault="009570BA" w:rsidP="006839C7">
      <w:pPr>
        <w:pStyle w:val="Heading3"/>
        <w:numPr>
          <w:ilvl w:val="0"/>
          <w:numId w:val="21"/>
        </w:numPr>
        <w:ind w:hanging="720"/>
      </w:pPr>
      <w:r w:rsidRPr="004F1625">
        <w:t>Quality Objectives for Academic Programmes</w:t>
      </w:r>
    </w:p>
    <w:p w:rsidR="00F16004" w:rsidRDefault="00F16004" w:rsidP="00537418">
      <w:pPr>
        <w:pStyle w:val="Heading4"/>
        <w:numPr>
          <w:ilvl w:val="0"/>
          <w:numId w:val="22"/>
        </w:numPr>
        <w:ind w:hanging="720"/>
      </w:pPr>
      <w:r>
        <w:t>Basis for Quality Assurance in IT Sligo</w:t>
      </w:r>
    </w:p>
    <w:p w:rsidR="00D80001" w:rsidRDefault="009570BA" w:rsidP="005500D6">
      <w:pPr>
        <w:tabs>
          <w:tab w:val="left" w:pos="284"/>
        </w:tabs>
        <w:spacing w:beforeLines="120" w:before="288"/>
        <w:rPr>
          <w:rFonts w:cs="Arial"/>
          <w:color w:val="000000"/>
        </w:rPr>
      </w:pPr>
      <w:r w:rsidRPr="004F1625">
        <w:rPr>
          <w:rFonts w:cs="Arial"/>
          <w:color w:val="000000"/>
        </w:rPr>
        <w:t xml:space="preserve">The Institute recognises that the primary responsibility for quality assurance lies within the Institute. It is further recognised that external quality </w:t>
      </w:r>
      <w:r>
        <w:rPr>
          <w:rFonts w:cs="Arial"/>
          <w:color w:val="000000"/>
        </w:rPr>
        <w:t>reviews</w:t>
      </w:r>
      <w:r w:rsidRPr="00DC42FE">
        <w:rPr>
          <w:rFonts w:ascii="Calibri" w:eastAsia="Times New Roman" w:hAnsi="Calibri" w:cs="Times New Roman"/>
          <w:color w:val="000000"/>
          <w:sz w:val="18"/>
          <w:szCs w:val="18"/>
          <w:lang w:val="en-GB"/>
        </w:rPr>
        <w:t xml:space="preserve"> </w:t>
      </w:r>
      <w:r w:rsidRPr="00DC42FE">
        <w:rPr>
          <w:rFonts w:cs="Arial"/>
          <w:color w:val="000000"/>
          <w:lang w:val="en-GB"/>
        </w:rPr>
        <w:t xml:space="preserve">are an essential element of the quality assurance machinery providing accreditation and reaccreditation of our programmes and placement on the NFQ as well as providing an objective external peer evaluation of the effectiveness of our policies and procedures. </w:t>
      </w:r>
      <w:r>
        <w:rPr>
          <w:rFonts w:cs="Arial"/>
          <w:color w:val="000000"/>
        </w:rPr>
        <w:t xml:space="preserve"> </w:t>
      </w:r>
    </w:p>
    <w:p w:rsidR="000759BA" w:rsidRDefault="009570BA" w:rsidP="005500D6">
      <w:pPr>
        <w:tabs>
          <w:tab w:val="left" w:pos="284"/>
        </w:tabs>
        <w:spacing w:beforeLines="120" w:before="288"/>
        <w:rPr>
          <w:rFonts w:cs="Arial"/>
          <w:color w:val="000000"/>
        </w:rPr>
      </w:pPr>
      <w:r w:rsidRPr="004F1625">
        <w:rPr>
          <w:rFonts w:cs="Arial"/>
          <w:color w:val="000000"/>
        </w:rPr>
        <w:t xml:space="preserve">Taken together, internal QA and external quality reviews aim to implement the </w:t>
      </w:r>
      <w:r w:rsidR="009E54BA">
        <w:rPr>
          <w:rFonts w:cs="Arial"/>
          <w:color w:val="000000"/>
        </w:rPr>
        <w:t>ESG</w:t>
      </w:r>
      <w:r w:rsidRPr="004F1625">
        <w:rPr>
          <w:rFonts w:cs="Arial"/>
          <w:color w:val="000000"/>
        </w:rPr>
        <w:t xml:space="preserve"> as follows:</w:t>
      </w:r>
    </w:p>
    <w:p w:rsidR="005D30A9" w:rsidRDefault="000759BA" w:rsidP="005500D6">
      <w:pPr>
        <w:pStyle w:val="ListParagraph"/>
        <w:numPr>
          <w:ilvl w:val="0"/>
          <w:numId w:val="17"/>
        </w:numPr>
        <w:tabs>
          <w:tab w:val="left" w:pos="360"/>
        </w:tabs>
        <w:spacing w:beforeLines="120" w:before="288"/>
        <w:ind w:left="360"/>
        <w:rPr>
          <w:rFonts w:cs="Arial"/>
          <w:color w:val="000000"/>
        </w:rPr>
      </w:pPr>
      <w:r w:rsidRPr="005D30A9">
        <w:rPr>
          <w:rFonts w:cs="Arial"/>
          <w:color w:val="000000"/>
        </w:rPr>
        <w:t>Policy for quality assurance</w:t>
      </w:r>
    </w:p>
    <w:p w:rsidR="000759BA" w:rsidRDefault="000759BA" w:rsidP="005500D6">
      <w:pPr>
        <w:pStyle w:val="ListParagraph"/>
        <w:tabs>
          <w:tab w:val="left" w:pos="360"/>
        </w:tabs>
        <w:spacing w:beforeLines="120" w:before="288"/>
        <w:ind w:left="360"/>
        <w:rPr>
          <w:rFonts w:cs="Arial"/>
          <w:color w:val="000000"/>
        </w:rPr>
      </w:pPr>
      <w:r w:rsidRPr="005D30A9">
        <w:rPr>
          <w:rFonts w:cs="Arial"/>
          <w:color w:val="000000"/>
        </w:rPr>
        <w:t>Institutions should have a policy for quality assurance that is made public and forms part of their strategic management. Internal stakeholders should develop and implement this policy through appropriate structures and processes, while involving external stakeholders</w:t>
      </w:r>
      <w:r w:rsidR="005D30A9">
        <w:rPr>
          <w:rFonts w:cs="Arial"/>
          <w:color w:val="000000"/>
        </w:rPr>
        <w:t>.</w:t>
      </w:r>
    </w:p>
    <w:p w:rsidR="005D30A9" w:rsidRPr="005D30A9" w:rsidRDefault="005D30A9" w:rsidP="005500D6">
      <w:pPr>
        <w:pStyle w:val="ListParagraph"/>
        <w:tabs>
          <w:tab w:val="left" w:pos="360"/>
        </w:tabs>
        <w:spacing w:beforeLines="120" w:before="288"/>
        <w:ind w:left="360"/>
        <w:rPr>
          <w:rFonts w:cs="Arial"/>
          <w:color w:val="000000"/>
        </w:rPr>
      </w:pPr>
    </w:p>
    <w:p w:rsidR="005D30A9" w:rsidRDefault="000759BA" w:rsidP="005500D6">
      <w:pPr>
        <w:pStyle w:val="ListParagraph"/>
        <w:numPr>
          <w:ilvl w:val="0"/>
          <w:numId w:val="17"/>
        </w:numPr>
        <w:tabs>
          <w:tab w:val="left" w:pos="360"/>
        </w:tabs>
        <w:spacing w:beforeLines="120" w:before="288"/>
        <w:ind w:left="360"/>
        <w:rPr>
          <w:rFonts w:cs="Arial"/>
          <w:color w:val="000000"/>
        </w:rPr>
      </w:pPr>
      <w:r w:rsidRPr="005D30A9">
        <w:rPr>
          <w:rFonts w:cs="Arial"/>
          <w:color w:val="000000"/>
        </w:rPr>
        <w:t>Design and approval of programmes</w:t>
      </w:r>
    </w:p>
    <w:p w:rsidR="000759BA" w:rsidRDefault="000759BA" w:rsidP="005500D6">
      <w:pPr>
        <w:pStyle w:val="ListParagraph"/>
        <w:tabs>
          <w:tab w:val="left" w:pos="360"/>
        </w:tabs>
        <w:spacing w:beforeLines="120" w:before="288"/>
        <w:ind w:left="360"/>
        <w:rPr>
          <w:rFonts w:cs="Arial"/>
          <w:color w:val="000000"/>
        </w:rPr>
      </w:pPr>
      <w:r w:rsidRPr="005D30A9">
        <w:rPr>
          <w:rFonts w:cs="Arial"/>
          <w:color w:val="000000"/>
        </w:rPr>
        <w:t xml:space="preserve">Institutions should have processes for the design and approval of their programmes. The programmes should be designed so that they meet the objectives set for them, including the intended learning outcomes. The qualification resulting from a programme should be clearly specified and communicated, and refer to the correct level of the national qualifications </w:t>
      </w:r>
      <w:r w:rsidRPr="005D30A9">
        <w:rPr>
          <w:rFonts w:cs="Arial"/>
          <w:color w:val="000000"/>
        </w:rPr>
        <w:lastRenderedPageBreak/>
        <w:t xml:space="preserve">framework for higher education and, consequently, to the Framework for Qualifications of the European Higher Education Area.   </w:t>
      </w:r>
    </w:p>
    <w:p w:rsidR="005D30A9" w:rsidRPr="005D30A9" w:rsidRDefault="005D30A9" w:rsidP="005500D6">
      <w:pPr>
        <w:pStyle w:val="ListParagraph"/>
        <w:tabs>
          <w:tab w:val="left" w:pos="360"/>
        </w:tabs>
        <w:spacing w:beforeLines="120" w:before="288"/>
        <w:ind w:left="360"/>
        <w:rPr>
          <w:rFonts w:cs="Arial"/>
          <w:color w:val="000000"/>
        </w:rPr>
      </w:pPr>
    </w:p>
    <w:p w:rsidR="005D30A9" w:rsidRDefault="000759BA" w:rsidP="005500D6">
      <w:pPr>
        <w:pStyle w:val="ListParagraph"/>
        <w:numPr>
          <w:ilvl w:val="0"/>
          <w:numId w:val="17"/>
        </w:numPr>
        <w:tabs>
          <w:tab w:val="left" w:pos="360"/>
        </w:tabs>
        <w:spacing w:beforeLines="120" w:before="288"/>
        <w:ind w:left="360"/>
        <w:rPr>
          <w:rFonts w:cs="Arial"/>
          <w:color w:val="000000"/>
        </w:rPr>
      </w:pPr>
      <w:r w:rsidRPr="000759BA">
        <w:rPr>
          <w:rFonts w:cs="Arial"/>
          <w:color w:val="000000"/>
        </w:rPr>
        <w:t xml:space="preserve">Student-centred learning, teaching and assessment </w:t>
      </w:r>
    </w:p>
    <w:p w:rsidR="000759BA" w:rsidRDefault="000759BA" w:rsidP="005500D6">
      <w:pPr>
        <w:pStyle w:val="ListParagraph"/>
        <w:tabs>
          <w:tab w:val="left" w:pos="360"/>
        </w:tabs>
        <w:spacing w:beforeLines="120" w:before="288"/>
        <w:ind w:left="360"/>
        <w:rPr>
          <w:rFonts w:cs="Arial"/>
          <w:color w:val="000000"/>
        </w:rPr>
      </w:pPr>
      <w:r w:rsidRPr="005D30A9">
        <w:rPr>
          <w:rFonts w:cs="Arial"/>
          <w:color w:val="000000"/>
        </w:rPr>
        <w:t>Institutions should ensure that the programmes are delivered in a way that encourages students to take an active role in creating the learning process, and that the assessment of students reflects this approach.</w:t>
      </w:r>
    </w:p>
    <w:p w:rsidR="005D30A9" w:rsidRPr="005D30A9" w:rsidRDefault="005D30A9" w:rsidP="005500D6">
      <w:pPr>
        <w:pStyle w:val="ListParagraph"/>
        <w:tabs>
          <w:tab w:val="left" w:pos="360"/>
        </w:tabs>
        <w:spacing w:beforeLines="120" w:before="288"/>
        <w:ind w:left="360"/>
        <w:rPr>
          <w:rFonts w:cs="Arial"/>
          <w:color w:val="000000"/>
        </w:rPr>
      </w:pPr>
    </w:p>
    <w:p w:rsidR="005D30A9" w:rsidRDefault="000759BA" w:rsidP="005500D6">
      <w:pPr>
        <w:pStyle w:val="ListParagraph"/>
        <w:numPr>
          <w:ilvl w:val="0"/>
          <w:numId w:val="17"/>
        </w:numPr>
        <w:tabs>
          <w:tab w:val="left" w:pos="360"/>
        </w:tabs>
        <w:spacing w:beforeLines="120" w:before="288"/>
        <w:ind w:left="360"/>
        <w:rPr>
          <w:rFonts w:cs="Arial"/>
          <w:color w:val="000000"/>
        </w:rPr>
      </w:pPr>
      <w:r w:rsidRPr="000759BA">
        <w:rPr>
          <w:rFonts w:cs="Arial"/>
          <w:color w:val="000000"/>
        </w:rPr>
        <w:t>Student admission, progression, recognition and certification</w:t>
      </w:r>
    </w:p>
    <w:p w:rsidR="000759BA" w:rsidRDefault="000759BA" w:rsidP="005500D6">
      <w:pPr>
        <w:pStyle w:val="ListParagraph"/>
        <w:tabs>
          <w:tab w:val="left" w:pos="360"/>
        </w:tabs>
        <w:spacing w:beforeLines="120" w:before="288"/>
        <w:ind w:left="360"/>
        <w:rPr>
          <w:rFonts w:cs="Arial"/>
          <w:color w:val="000000"/>
        </w:rPr>
      </w:pPr>
      <w:r w:rsidRPr="005D30A9">
        <w:rPr>
          <w:rFonts w:cs="Arial"/>
          <w:color w:val="000000"/>
        </w:rPr>
        <w:t xml:space="preserve">Institutions should consistently apply pre-defined and published regulations covering all phases of the student “life cycle”, e.g. student admission, progression, recognition and certification. </w:t>
      </w:r>
    </w:p>
    <w:p w:rsidR="005D30A9" w:rsidRPr="005D30A9" w:rsidRDefault="005D30A9" w:rsidP="005500D6">
      <w:pPr>
        <w:pStyle w:val="ListParagraph"/>
        <w:tabs>
          <w:tab w:val="left" w:pos="360"/>
        </w:tabs>
        <w:spacing w:beforeLines="120" w:before="288"/>
        <w:ind w:left="360"/>
        <w:rPr>
          <w:rFonts w:cs="Arial"/>
          <w:color w:val="000000"/>
        </w:rPr>
      </w:pPr>
    </w:p>
    <w:p w:rsidR="005D30A9" w:rsidRDefault="000759BA" w:rsidP="005500D6">
      <w:pPr>
        <w:pStyle w:val="ListParagraph"/>
        <w:numPr>
          <w:ilvl w:val="0"/>
          <w:numId w:val="17"/>
        </w:numPr>
        <w:tabs>
          <w:tab w:val="left" w:pos="360"/>
        </w:tabs>
        <w:spacing w:beforeLines="120" w:before="288"/>
        <w:ind w:left="360"/>
        <w:rPr>
          <w:rFonts w:cs="Arial"/>
          <w:color w:val="000000"/>
        </w:rPr>
      </w:pPr>
      <w:r w:rsidRPr="000759BA">
        <w:rPr>
          <w:rFonts w:cs="Arial"/>
          <w:color w:val="000000"/>
        </w:rPr>
        <w:t xml:space="preserve">Teaching staff </w:t>
      </w:r>
    </w:p>
    <w:p w:rsidR="000759BA" w:rsidRDefault="000759BA" w:rsidP="005500D6">
      <w:pPr>
        <w:pStyle w:val="ListParagraph"/>
        <w:tabs>
          <w:tab w:val="left" w:pos="360"/>
        </w:tabs>
        <w:spacing w:beforeLines="120" w:before="288"/>
        <w:ind w:left="360"/>
        <w:rPr>
          <w:rFonts w:cs="Arial"/>
          <w:color w:val="000000"/>
        </w:rPr>
      </w:pPr>
      <w:r w:rsidRPr="005D30A9">
        <w:rPr>
          <w:rFonts w:cs="Arial"/>
          <w:color w:val="000000"/>
        </w:rPr>
        <w:t>Institutions should assure themselves of the competence of their teachers. They should apply fair and transparent processes for the recruitment and development of the staff.</w:t>
      </w:r>
    </w:p>
    <w:p w:rsidR="005D30A9" w:rsidRPr="005D30A9" w:rsidRDefault="005D30A9" w:rsidP="005500D6">
      <w:pPr>
        <w:pStyle w:val="ListParagraph"/>
        <w:tabs>
          <w:tab w:val="left" w:pos="360"/>
        </w:tabs>
        <w:spacing w:beforeLines="120" w:before="288"/>
        <w:ind w:left="360"/>
        <w:rPr>
          <w:rFonts w:cs="Arial"/>
          <w:color w:val="000000"/>
        </w:rPr>
      </w:pPr>
    </w:p>
    <w:p w:rsidR="005D30A9" w:rsidRDefault="000759BA" w:rsidP="005500D6">
      <w:pPr>
        <w:pStyle w:val="ListParagraph"/>
        <w:numPr>
          <w:ilvl w:val="0"/>
          <w:numId w:val="17"/>
        </w:numPr>
        <w:tabs>
          <w:tab w:val="left" w:pos="360"/>
        </w:tabs>
        <w:spacing w:beforeLines="120" w:before="288"/>
        <w:ind w:left="360"/>
        <w:rPr>
          <w:rFonts w:cs="Arial"/>
          <w:color w:val="000000"/>
        </w:rPr>
      </w:pPr>
      <w:r w:rsidRPr="000759BA">
        <w:rPr>
          <w:rFonts w:cs="Arial"/>
          <w:color w:val="000000"/>
        </w:rPr>
        <w:t>Learning resources and student support</w:t>
      </w:r>
    </w:p>
    <w:p w:rsidR="000759BA" w:rsidRDefault="000759BA" w:rsidP="005500D6">
      <w:pPr>
        <w:pStyle w:val="ListParagraph"/>
        <w:tabs>
          <w:tab w:val="left" w:pos="360"/>
        </w:tabs>
        <w:spacing w:beforeLines="120" w:before="288"/>
        <w:ind w:left="360"/>
        <w:rPr>
          <w:rFonts w:cs="Arial"/>
          <w:color w:val="000000"/>
        </w:rPr>
      </w:pPr>
      <w:r w:rsidRPr="005D30A9">
        <w:rPr>
          <w:rFonts w:cs="Arial"/>
          <w:color w:val="000000"/>
        </w:rPr>
        <w:t xml:space="preserve">Institutions should have appropriate funding for learning and teaching activities and ensure that adequate and readily accessible learning resources and student support are provided. </w:t>
      </w:r>
    </w:p>
    <w:p w:rsidR="005D30A9" w:rsidRPr="005D30A9" w:rsidRDefault="005D30A9" w:rsidP="005500D6">
      <w:pPr>
        <w:pStyle w:val="ListParagraph"/>
        <w:tabs>
          <w:tab w:val="left" w:pos="360"/>
        </w:tabs>
        <w:spacing w:beforeLines="120" w:before="288"/>
        <w:ind w:left="360"/>
        <w:rPr>
          <w:rFonts w:cs="Arial"/>
          <w:color w:val="000000"/>
        </w:rPr>
      </w:pPr>
    </w:p>
    <w:p w:rsidR="005D30A9" w:rsidRDefault="000759BA" w:rsidP="005500D6">
      <w:pPr>
        <w:pStyle w:val="ListParagraph"/>
        <w:numPr>
          <w:ilvl w:val="0"/>
          <w:numId w:val="17"/>
        </w:numPr>
        <w:tabs>
          <w:tab w:val="left" w:pos="360"/>
        </w:tabs>
        <w:spacing w:beforeLines="120" w:before="288"/>
        <w:ind w:left="360"/>
        <w:rPr>
          <w:rFonts w:cs="Arial"/>
          <w:color w:val="000000"/>
        </w:rPr>
      </w:pPr>
      <w:r w:rsidRPr="000759BA">
        <w:rPr>
          <w:rFonts w:cs="Arial"/>
          <w:color w:val="000000"/>
        </w:rPr>
        <w:t xml:space="preserve">Information management </w:t>
      </w:r>
    </w:p>
    <w:p w:rsidR="000759BA" w:rsidRDefault="000759BA" w:rsidP="005500D6">
      <w:pPr>
        <w:pStyle w:val="ListParagraph"/>
        <w:tabs>
          <w:tab w:val="left" w:pos="360"/>
        </w:tabs>
        <w:spacing w:beforeLines="120" w:before="288"/>
        <w:ind w:left="360"/>
        <w:rPr>
          <w:rFonts w:cs="Arial"/>
          <w:color w:val="000000"/>
        </w:rPr>
      </w:pPr>
      <w:r w:rsidRPr="005D30A9">
        <w:rPr>
          <w:rFonts w:cs="Arial"/>
          <w:color w:val="000000"/>
        </w:rPr>
        <w:t>Institutions should ensure that they collect, analyse and use relevant information for the effective management of their programmes and other activities.</w:t>
      </w:r>
    </w:p>
    <w:p w:rsidR="005D30A9" w:rsidRPr="005D30A9" w:rsidRDefault="005D30A9" w:rsidP="005500D6">
      <w:pPr>
        <w:pStyle w:val="ListParagraph"/>
        <w:tabs>
          <w:tab w:val="left" w:pos="360"/>
        </w:tabs>
        <w:spacing w:beforeLines="120" w:before="288"/>
        <w:ind w:left="360"/>
        <w:rPr>
          <w:rFonts w:cs="Arial"/>
          <w:color w:val="000000"/>
        </w:rPr>
      </w:pPr>
    </w:p>
    <w:p w:rsidR="005D30A9" w:rsidRDefault="000759BA" w:rsidP="005500D6">
      <w:pPr>
        <w:pStyle w:val="ListParagraph"/>
        <w:numPr>
          <w:ilvl w:val="0"/>
          <w:numId w:val="17"/>
        </w:numPr>
        <w:tabs>
          <w:tab w:val="left" w:pos="360"/>
        </w:tabs>
        <w:spacing w:beforeLines="120" w:before="288"/>
        <w:ind w:left="360"/>
        <w:rPr>
          <w:rFonts w:cs="Arial"/>
          <w:color w:val="000000"/>
        </w:rPr>
      </w:pPr>
      <w:r w:rsidRPr="000759BA">
        <w:rPr>
          <w:rFonts w:cs="Arial"/>
          <w:color w:val="000000"/>
        </w:rPr>
        <w:t>Public information</w:t>
      </w:r>
    </w:p>
    <w:p w:rsidR="000759BA" w:rsidRDefault="000759BA" w:rsidP="005500D6">
      <w:pPr>
        <w:pStyle w:val="ListParagraph"/>
        <w:tabs>
          <w:tab w:val="left" w:pos="360"/>
        </w:tabs>
        <w:spacing w:beforeLines="120" w:before="288"/>
        <w:ind w:left="360"/>
        <w:rPr>
          <w:rFonts w:cs="Arial"/>
          <w:color w:val="000000"/>
        </w:rPr>
      </w:pPr>
      <w:r w:rsidRPr="005D30A9">
        <w:rPr>
          <w:rFonts w:cs="Arial"/>
          <w:color w:val="000000"/>
        </w:rPr>
        <w:t xml:space="preserve">Institutions should publish information about their activities, including programmes, which is clear, accurate, objective, up-to date and readily accessible. </w:t>
      </w:r>
    </w:p>
    <w:p w:rsidR="005D30A9" w:rsidRPr="005D30A9" w:rsidRDefault="005D30A9" w:rsidP="005500D6">
      <w:pPr>
        <w:pStyle w:val="ListParagraph"/>
        <w:tabs>
          <w:tab w:val="left" w:pos="360"/>
        </w:tabs>
        <w:spacing w:beforeLines="120" w:before="288"/>
        <w:ind w:left="360"/>
        <w:rPr>
          <w:rFonts w:cs="Arial"/>
          <w:color w:val="000000"/>
        </w:rPr>
      </w:pPr>
    </w:p>
    <w:p w:rsidR="005D30A9" w:rsidRDefault="000759BA" w:rsidP="005500D6">
      <w:pPr>
        <w:pStyle w:val="ListParagraph"/>
        <w:numPr>
          <w:ilvl w:val="0"/>
          <w:numId w:val="17"/>
        </w:numPr>
        <w:tabs>
          <w:tab w:val="left" w:pos="360"/>
        </w:tabs>
        <w:spacing w:beforeLines="120" w:before="288"/>
        <w:ind w:left="360"/>
        <w:rPr>
          <w:rFonts w:cs="Arial"/>
          <w:color w:val="000000"/>
        </w:rPr>
      </w:pPr>
      <w:r w:rsidRPr="000759BA">
        <w:rPr>
          <w:rFonts w:cs="Arial"/>
          <w:color w:val="000000"/>
        </w:rPr>
        <w:t>On-going monitoring and periodic review of programmes</w:t>
      </w:r>
    </w:p>
    <w:p w:rsidR="000759BA" w:rsidRDefault="000759BA" w:rsidP="005500D6">
      <w:pPr>
        <w:pStyle w:val="ListParagraph"/>
        <w:tabs>
          <w:tab w:val="left" w:pos="360"/>
        </w:tabs>
        <w:spacing w:beforeLines="120" w:before="288"/>
        <w:ind w:left="360"/>
        <w:rPr>
          <w:rFonts w:cs="Arial"/>
          <w:color w:val="000000"/>
        </w:rPr>
      </w:pPr>
      <w:r w:rsidRPr="005D30A9">
        <w:rPr>
          <w:rFonts w:cs="Arial"/>
          <w:color w:val="000000"/>
        </w:rPr>
        <w:t>Institutions should monitor and periodically review their programmes to ensure that they achieve the objectives set for them and respond to the needs of students and society. These reviews should lead to continuous improvement of the programme. Any action planned or taken as a result should be communicated to all those concerned.</w:t>
      </w:r>
    </w:p>
    <w:p w:rsidR="005D30A9" w:rsidRPr="005D30A9" w:rsidRDefault="005D30A9" w:rsidP="005500D6">
      <w:pPr>
        <w:pStyle w:val="ListParagraph"/>
        <w:tabs>
          <w:tab w:val="left" w:pos="360"/>
        </w:tabs>
        <w:spacing w:beforeLines="120" w:before="288"/>
        <w:ind w:left="360"/>
        <w:rPr>
          <w:rFonts w:cs="Arial"/>
          <w:color w:val="000000"/>
        </w:rPr>
      </w:pPr>
    </w:p>
    <w:p w:rsidR="005D30A9" w:rsidRDefault="000759BA" w:rsidP="005500D6">
      <w:pPr>
        <w:pStyle w:val="ListParagraph"/>
        <w:numPr>
          <w:ilvl w:val="0"/>
          <w:numId w:val="17"/>
        </w:numPr>
        <w:tabs>
          <w:tab w:val="left" w:pos="360"/>
        </w:tabs>
        <w:spacing w:beforeLines="120" w:before="288"/>
        <w:ind w:left="360"/>
        <w:rPr>
          <w:rFonts w:cs="Arial"/>
          <w:color w:val="000000"/>
        </w:rPr>
      </w:pPr>
      <w:r w:rsidRPr="000759BA">
        <w:rPr>
          <w:rFonts w:cs="Arial"/>
          <w:color w:val="000000"/>
        </w:rPr>
        <w:t xml:space="preserve">Cyclical external quality assurance </w:t>
      </w:r>
    </w:p>
    <w:p w:rsidR="000759BA" w:rsidRPr="005D30A9" w:rsidRDefault="000759BA" w:rsidP="005500D6">
      <w:pPr>
        <w:pStyle w:val="ListParagraph"/>
        <w:tabs>
          <w:tab w:val="left" w:pos="360"/>
        </w:tabs>
        <w:spacing w:beforeLines="120" w:before="288"/>
        <w:ind w:left="360"/>
        <w:rPr>
          <w:rFonts w:cs="Arial"/>
          <w:color w:val="000000"/>
        </w:rPr>
      </w:pPr>
      <w:r w:rsidRPr="005D30A9">
        <w:rPr>
          <w:rFonts w:cs="Arial"/>
          <w:color w:val="000000"/>
        </w:rPr>
        <w:t>Institutions should undergo external quality assurance in line with the ESG on a cyclical basis</w:t>
      </w:r>
    </w:p>
    <w:p w:rsidR="00F1641D" w:rsidRPr="004826BE" w:rsidRDefault="002B156D" w:rsidP="00F16004">
      <w:pPr>
        <w:pStyle w:val="Heading3"/>
        <w:rPr>
          <w:b w:val="0"/>
          <w:bCs w:val="0"/>
          <w:smallCaps/>
          <w:color w:val="C0504D" w:themeColor="accent2"/>
          <w:spacing w:val="5"/>
          <w:u w:val="single"/>
        </w:rPr>
      </w:pPr>
      <w:hyperlink r:id="rId34" w:history="1">
        <w:r w:rsidR="00F1641D" w:rsidRPr="002B156D">
          <w:rPr>
            <w:rStyle w:val="Hyperlink"/>
            <w:spacing w:val="5"/>
          </w:rPr>
          <w:t>Standards and Guidelines for QA in the European Higher Education Area</w:t>
        </w:r>
      </w:hyperlink>
      <w:r w:rsidR="00F1641D" w:rsidRPr="000759BA">
        <w:rPr>
          <w:rStyle w:val="IntenseReference"/>
        </w:rPr>
        <w:t xml:space="preserve"> </w:t>
      </w:r>
    </w:p>
    <w:p w:rsidR="009570BA" w:rsidRPr="004F1625" w:rsidRDefault="009570BA" w:rsidP="001154C7">
      <w:pPr>
        <w:pStyle w:val="Heading4"/>
        <w:numPr>
          <w:ilvl w:val="0"/>
          <w:numId w:val="22"/>
        </w:numPr>
        <w:ind w:hanging="720"/>
      </w:pPr>
      <w:r w:rsidRPr="004F1625">
        <w:t>Evaluation of Quality Assurance performance</w:t>
      </w:r>
    </w:p>
    <w:p w:rsidR="009570BA" w:rsidRPr="004F1625" w:rsidRDefault="009570BA" w:rsidP="005500D6">
      <w:pPr>
        <w:spacing w:beforeLines="120" w:before="288"/>
        <w:contextualSpacing/>
        <w:rPr>
          <w:rFonts w:cs="Arial"/>
          <w:color w:val="000000"/>
        </w:rPr>
      </w:pPr>
      <w:r w:rsidRPr="004F1625">
        <w:rPr>
          <w:rFonts w:cs="Arial"/>
          <w:color w:val="000000"/>
        </w:rPr>
        <w:t>The following is a list of some of the metrics used to evaluate the quality of education provided by IT Sligo:</w:t>
      </w:r>
    </w:p>
    <w:p w:rsidR="009570BA" w:rsidRPr="004F1625" w:rsidRDefault="009570BA" w:rsidP="005500D6">
      <w:pPr>
        <w:numPr>
          <w:ilvl w:val="0"/>
          <w:numId w:val="6"/>
        </w:numPr>
        <w:tabs>
          <w:tab w:val="left" w:pos="284"/>
        </w:tabs>
        <w:spacing w:beforeLines="120" w:before="288"/>
        <w:ind w:left="0" w:firstLine="0"/>
        <w:contextualSpacing/>
        <w:rPr>
          <w:rFonts w:cs="Arial"/>
          <w:color w:val="000000"/>
        </w:rPr>
      </w:pPr>
      <w:r w:rsidRPr="004F1625">
        <w:rPr>
          <w:rFonts w:cs="Arial"/>
          <w:color w:val="000000"/>
        </w:rPr>
        <w:t>Student feedback surveys</w:t>
      </w:r>
    </w:p>
    <w:p w:rsidR="009570BA" w:rsidRDefault="009570BA" w:rsidP="005500D6">
      <w:pPr>
        <w:numPr>
          <w:ilvl w:val="0"/>
          <w:numId w:val="6"/>
        </w:numPr>
        <w:tabs>
          <w:tab w:val="left" w:pos="284"/>
        </w:tabs>
        <w:spacing w:beforeLines="120" w:before="288"/>
        <w:ind w:left="0" w:firstLine="0"/>
        <w:contextualSpacing/>
        <w:rPr>
          <w:rFonts w:cs="Arial"/>
          <w:color w:val="000000"/>
        </w:rPr>
      </w:pPr>
      <w:r w:rsidRPr="004F1625">
        <w:rPr>
          <w:rFonts w:cs="Arial"/>
          <w:color w:val="000000"/>
        </w:rPr>
        <w:t>External examiners reports</w:t>
      </w:r>
    </w:p>
    <w:p w:rsidR="00D80001" w:rsidRPr="00D80001" w:rsidRDefault="002B156D" w:rsidP="005500D6">
      <w:pPr>
        <w:numPr>
          <w:ilvl w:val="0"/>
          <w:numId w:val="6"/>
        </w:numPr>
        <w:tabs>
          <w:tab w:val="left" w:pos="284"/>
        </w:tabs>
        <w:spacing w:beforeLines="120" w:before="288"/>
        <w:ind w:left="0" w:firstLine="0"/>
        <w:contextualSpacing/>
        <w:rPr>
          <w:rStyle w:val="IntenseReference"/>
        </w:rPr>
      </w:pPr>
      <w:hyperlink r:id="rId35" w:history="1">
        <w:r w:rsidR="00D80001" w:rsidRPr="002B156D">
          <w:rPr>
            <w:rStyle w:val="Hyperlink"/>
            <w:spacing w:val="5"/>
          </w:rPr>
          <w:t>Programme Monitoring Reports EAP7</w:t>
        </w:r>
      </w:hyperlink>
    </w:p>
    <w:p w:rsidR="009570BA" w:rsidRPr="004F1625" w:rsidRDefault="009570BA" w:rsidP="005500D6">
      <w:pPr>
        <w:numPr>
          <w:ilvl w:val="0"/>
          <w:numId w:val="6"/>
        </w:numPr>
        <w:tabs>
          <w:tab w:val="left" w:pos="284"/>
        </w:tabs>
        <w:spacing w:beforeLines="120" w:before="288"/>
        <w:ind w:left="0" w:firstLine="0"/>
        <w:contextualSpacing/>
        <w:rPr>
          <w:rFonts w:cs="Arial"/>
          <w:color w:val="000000"/>
        </w:rPr>
      </w:pPr>
      <w:r w:rsidRPr="004F1625">
        <w:rPr>
          <w:rFonts w:cs="Arial"/>
          <w:color w:val="000000"/>
        </w:rPr>
        <w:lastRenderedPageBreak/>
        <w:t>New programme evaluation Panel reports</w:t>
      </w:r>
    </w:p>
    <w:p w:rsidR="009570BA" w:rsidRPr="004F1625" w:rsidRDefault="009570BA" w:rsidP="005500D6">
      <w:pPr>
        <w:numPr>
          <w:ilvl w:val="0"/>
          <w:numId w:val="6"/>
        </w:numPr>
        <w:tabs>
          <w:tab w:val="left" w:pos="284"/>
        </w:tabs>
        <w:spacing w:beforeLines="120" w:before="288"/>
        <w:ind w:left="0" w:firstLine="0"/>
        <w:contextualSpacing/>
        <w:rPr>
          <w:rFonts w:cs="Arial"/>
          <w:color w:val="000000"/>
        </w:rPr>
      </w:pPr>
      <w:r w:rsidRPr="004F1625">
        <w:rPr>
          <w:rFonts w:cs="Arial"/>
          <w:color w:val="000000"/>
        </w:rPr>
        <w:t>Annual internal reviews of programme performance</w:t>
      </w:r>
    </w:p>
    <w:p w:rsidR="009570BA" w:rsidRPr="004F1625" w:rsidRDefault="009570BA" w:rsidP="005500D6">
      <w:pPr>
        <w:numPr>
          <w:ilvl w:val="0"/>
          <w:numId w:val="6"/>
        </w:numPr>
        <w:tabs>
          <w:tab w:val="left" w:pos="284"/>
        </w:tabs>
        <w:spacing w:beforeLines="120" w:before="288"/>
        <w:ind w:left="0" w:firstLine="0"/>
        <w:contextualSpacing/>
        <w:rPr>
          <w:rFonts w:cs="Arial"/>
          <w:color w:val="000000"/>
        </w:rPr>
      </w:pPr>
      <w:r w:rsidRPr="004F1625">
        <w:rPr>
          <w:rFonts w:cs="Arial"/>
          <w:color w:val="000000"/>
        </w:rPr>
        <w:t>Institutional reviews</w:t>
      </w:r>
    </w:p>
    <w:p w:rsidR="009570BA" w:rsidRPr="004F1625" w:rsidRDefault="009570BA" w:rsidP="005500D6">
      <w:pPr>
        <w:numPr>
          <w:ilvl w:val="0"/>
          <w:numId w:val="6"/>
        </w:numPr>
        <w:tabs>
          <w:tab w:val="left" w:pos="284"/>
        </w:tabs>
        <w:spacing w:beforeLines="120" w:before="288"/>
        <w:ind w:left="0" w:firstLine="0"/>
        <w:contextualSpacing/>
        <w:rPr>
          <w:rFonts w:cs="Arial"/>
          <w:color w:val="000000"/>
        </w:rPr>
      </w:pPr>
      <w:r w:rsidRPr="004F1625">
        <w:rPr>
          <w:rFonts w:cs="Arial"/>
          <w:color w:val="000000"/>
        </w:rPr>
        <w:t>Surveys of graduates</w:t>
      </w:r>
    </w:p>
    <w:p w:rsidR="009570BA" w:rsidRDefault="009570BA" w:rsidP="005500D6">
      <w:pPr>
        <w:numPr>
          <w:ilvl w:val="0"/>
          <w:numId w:val="6"/>
        </w:numPr>
        <w:tabs>
          <w:tab w:val="left" w:pos="284"/>
        </w:tabs>
        <w:spacing w:beforeLines="120" w:before="288"/>
        <w:ind w:left="0" w:firstLine="0"/>
        <w:contextualSpacing/>
        <w:rPr>
          <w:rFonts w:cs="Arial"/>
          <w:color w:val="000000"/>
        </w:rPr>
      </w:pPr>
      <w:r w:rsidRPr="004F1625">
        <w:rPr>
          <w:rFonts w:cs="Arial"/>
          <w:color w:val="000000"/>
        </w:rPr>
        <w:t>Surveys of employers</w:t>
      </w:r>
    </w:p>
    <w:p w:rsidR="00EE6028" w:rsidRPr="00EE6028" w:rsidRDefault="00EE6028" w:rsidP="00EE6028">
      <w:pPr>
        <w:tabs>
          <w:tab w:val="left" w:pos="284"/>
        </w:tabs>
        <w:spacing w:before="120"/>
        <w:ind w:right="-1"/>
        <w:rPr>
          <w:rFonts w:cs="Arial"/>
          <w:color w:val="000000"/>
        </w:rPr>
      </w:pPr>
    </w:p>
    <w:p w:rsidR="009570BA" w:rsidRPr="004F1625" w:rsidRDefault="009570BA" w:rsidP="00CC6C4D">
      <w:pPr>
        <w:pStyle w:val="Heading3"/>
        <w:numPr>
          <w:ilvl w:val="0"/>
          <w:numId w:val="21"/>
        </w:numPr>
        <w:ind w:hanging="720"/>
      </w:pPr>
      <w:bookmarkStart w:id="32" w:name="_Toc72589448"/>
      <w:bookmarkStart w:id="33" w:name="_Toc72755379"/>
      <w:bookmarkStart w:id="34" w:name="_Toc72761573"/>
      <w:bookmarkStart w:id="35" w:name="_Toc72765021"/>
      <w:bookmarkStart w:id="36" w:name="_Toc72812253"/>
      <w:r w:rsidRPr="004F1625">
        <w:t>Academic Council</w:t>
      </w:r>
      <w:bookmarkEnd w:id="32"/>
      <w:bookmarkEnd w:id="33"/>
      <w:bookmarkEnd w:id="34"/>
      <w:bookmarkEnd w:id="35"/>
      <w:bookmarkEnd w:id="36"/>
    </w:p>
    <w:p w:rsidR="007A11D3" w:rsidRDefault="009570BA" w:rsidP="005500D6">
      <w:pPr>
        <w:spacing w:beforeLines="120" w:before="288"/>
        <w:contextualSpacing/>
        <w:rPr>
          <w:color w:val="000000"/>
        </w:rPr>
      </w:pPr>
      <w:r w:rsidRPr="004F1625">
        <w:rPr>
          <w:color w:val="000000"/>
        </w:rPr>
        <w:t xml:space="preserve">The Academic Council is a statutory body appointed by the Governing Body to assist the Institute, with the planning, co-ordination, development and implementation of its educational work, as well as promoting and maintaining good academic standards and procedures in all its activities.  The Academic Council is appointed under </w:t>
      </w:r>
      <w:r w:rsidRPr="004F1625">
        <w:rPr>
          <w:i/>
          <w:iCs/>
          <w:color w:val="000000"/>
        </w:rPr>
        <w:t>Section 10 (1)</w:t>
      </w:r>
      <w:r w:rsidRPr="004F1625">
        <w:rPr>
          <w:color w:val="000000"/>
        </w:rPr>
        <w:t xml:space="preserve"> of </w:t>
      </w:r>
      <w:r w:rsidRPr="004F1625">
        <w:rPr>
          <w:i/>
          <w:iCs/>
          <w:color w:val="000000"/>
        </w:rPr>
        <w:t>the Institutes of Technology Acts 1992-2006.</w:t>
      </w:r>
      <w:r w:rsidRPr="004F1625">
        <w:rPr>
          <w:color w:val="000000"/>
        </w:rPr>
        <w:t xml:space="preserve"> Membership of the Academic Council is afforded to staff through elected representation.  The President, Registrar, Heads of School, and the Heads of Academic Department</w:t>
      </w:r>
      <w:r>
        <w:rPr>
          <w:color w:val="000000"/>
        </w:rPr>
        <w:t>, Education Development and Quality Manager, head of Research and Librarian</w:t>
      </w:r>
      <w:r w:rsidRPr="004F1625">
        <w:rPr>
          <w:color w:val="000000"/>
        </w:rPr>
        <w:t xml:space="preserve"> are ex officio members of the Academic Council, while administrative staff, support staff and students are also represented The President is Chairperson and the Registrar is Secretary to the Council</w:t>
      </w:r>
      <w:r w:rsidR="00762F62">
        <w:rPr>
          <w:color w:val="000000"/>
        </w:rPr>
        <w:t xml:space="preserve">. </w:t>
      </w:r>
    </w:p>
    <w:p w:rsidR="00EE6028" w:rsidRDefault="00762F62" w:rsidP="005500D6">
      <w:pPr>
        <w:spacing w:beforeLines="120" w:before="288"/>
        <w:contextualSpacing/>
        <w:rPr>
          <w:rStyle w:val="Hyperlink"/>
        </w:rPr>
      </w:pPr>
      <w:r>
        <w:rPr>
          <w:color w:val="000000"/>
        </w:rPr>
        <w:t xml:space="preserve">Information on the Academic Council can be found </w:t>
      </w:r>
      <w:hyperlink r:id="rId36" w:history="1">
        <w:r w:rsidRPr="002B156D">
          <w:rPr>
            <w:rStyle w:val="Hyperlink"/>
          </w:rPr>
          <w:t>here</w:t>
        </w:r>
      </w:hyperlink>
      <w:r>
        <w:rPr>
          <w:color w:val="000000"/>
        </w:rPr>
        <w:t xml:space="preserve">. </w:t>
      </w:r>
    </w:p>
    <w:p w:rsidR="005500D6" w:rsidRPr="005500D6" w:rsidRDefault="005500D6" w:rsidP="005500D6">
      <w:pPr>
        <w:spacing w:beforeLines="120" w:before="288"/>
        <w:rPr>
          <w:color w:val="0000FF" w:themeColor="hyperlink"/>
          <w:u w:val="single"/>
        </w:rPr>
      </w:pPr>
    </w:p>
    <w:p w:rsidR="009570BA" w:rsidRPr="004F1625" w:rsidRDefault="009570BA" w:rsidP="00D872BF">
      <w:pPr>
        <w:pStyle w:val="Heading3"/>
        <w:numPr>
          <w:ilvl w:val="0"/>
          <w:numId w:val="21"/>
        </w:numPr>
        <w:ind w:hanging="720"/>
      </w:pPr>
      <w:bookmarkStart w:id="37" w:name="_Toc72589449"/>
      <w:bookmarkStart w:id="38" w:name="_Toc72755380"/>
      <w:bookmarkStart w:id="39" w:name="_Toc72761574"/>
      <w:bookmarkStart w:id="40" w:name="_Toc72765022"/>
      <w:bookmarkStart w:id="41" w:name="_Toc72812254"/>
      <w:r w:rsidRPr="004F1625">
        <w:t>Academic Council Committees</w:t>
      </w:r>
      <w:bookmarkEnd w:id="37"/>
      <w:bookmarkEnd w:id="38"/>
      <w:bookmarkEnd w:id="39"/>
      <w:bookmarkEnd w:id="40"/>
      <w:bookmarkEnd w:id="41"/>
    </w:p>
    <w:p w:rsidR="009570BA" w:rsidRDefault="007A11D3" w:rsidP="005500D6">
      <w:pPr>
        <w:spacing w:beforeLines="120" w:before="288"/>
        <w:contextualSpacing/>
        <w:rPr>
          <w:color w:val="000000"/>
        </w:rPr>
      </w:pPr>
      <w:r>
        <w:rPr>
          <w:color w:val="000000"/>
        </w:rPr>
        <w:t>C</w:t>
      </w:r>
      <w:r w:rsidR="009570BA" w:rsidRPr="004F1625">
        <w:rPr>
          <w:color w:val="000000"/>
        </w:rPr>
        <w:t>ommittees carry out the wo</w:t>
      </w:r>
      <w:r>
        <w:rPr>
          <w:color w:val="000000"/>
        </w:rPr>
        <w:t xml:space="preserve">rk of the Council. </w:t>
      </w:r>
    </w:p>
    <w:p w:rsidR="00BE6908" w:rsidRPr="005500D6" w:rsidRDefault="0074238E" w:rsidP="005500D6">
      <w:pPr>
        <w:tabs>
          <w:tab w:val="left" w:pos="1440"/>
        </w:tabs>
        <w:spacing w:beforeLines="120" w:before="288"/>
        <w:contextualSpacing/>
        <w:rPr>
          <w:b/>
          <w:bCs/>
          <w:smallCaps/>
          <w:color w:val="C0504D" w:themeColor="accent2"/>
          <w:spacing w:val="5"/>
          <w:u w:val="single"/>
        </w:rPr>
      </w:pPr>
      <w:bookmarkStart w:id="42" w:name="Figure11"/>
      <w:bookmarkEnd w:id="42"/>
      <w:r w:rsidRPr="0074238E">
        <w:t>This document details the</w:t>
      </w:r>
      <w:hyperlink r:id="rId37" w:history="1">
        <w:r w:rsidRPr="002B156D">
          <w:rPr>
            <w:rStyle w:val="Hyperlink"/>
            <w:spacing w:val="5"/>
          </w:rPr>
          <w:t xml:space="preserve"> </w:t>
        </w:r>
        <w:r w:rsidR="007A11D3" w:rsidRPr="002B156D">
          <w:rPr>
            <w:rStyle w:val="Hyperlink"/>
            <w:spacing w:val="5"/>
          </w:rPr>
          <w:t>Functions of the Academic Council Committees</w:t>
        </w:r>
      </w:hyperlink>
      <w:r>
        <w:rPr>
          <w:rStyle w:val="IntenseReference"/>
        </w:rPr>
        <w:t xml:space="preserve">. </w:t>
      </w:r>
    </w:p>
    <w:p w:rsidR="00232C04" w:rsidRDefault="00232C04" w:rsidP="005500D6">
      <w:pPr>
        <w:spacing w:beforeLines="120" w:before="288"/>
        <w:contextualSpacing/>
        <w:rPr>
          <w:color w:val="000000"/>
        </w:rPr>
      </w:pPr>
    </w:p>
    <w:p w:rsidR="00BE6908" w:rsidRDefault="00BE6908" w:rsidP="00232C04">
      <w:pPr>
        <w:pStyle w:val="Heading3"/>
        <w:numPr>
          <w:ilvl w:val="0"/>
          <w:numId w:val="21"/>
        </w:numPr>
        <w:ind w:hanging="720"/>
      </w:pPr>
      <w:r>
        <w:t>IT Sligo Organisation</w:t>
      </w:r>
    </w:p>
    <w:p w:rsidR="00473247" w:rsidRDefault="00BE6908" w:rsidP="005500D6">
      <w:pPr>
        <w:spacing w:beforeLines="120" w:before="288"/>
        <w:contextualSpacing/>
        <w:rPr>
          <w:rStyle w:val="Hyperlink"/>
        </w:rPr>
      </w:pPr>
      <w:r>
        <w:rPr>
          <w:color w:val="000000"/>
        </w:rPr>
        <w:t xml:space="preserve">The IT Sligo organisation chart can be found here. </w:t>
      </w:r>
      <w:hyperlink r:id="rId38" w:history="1">
        <w:r w:rsidR="00473247" w:rsidRPr="00A40E38">
          <w:rPr>
            <w:rStyle w:val="Hyperlink"/>
          </w:rPr>
          <w:t>https://www.itsligo.ie/about-it-sligo/administration/presidents-office/organisational-chart/</w:t>
        </w:r>
      </w:hyperlink>
    </w:p>
    <w:p w:rsidR="00BE6908" w:rsidRDefault="00BE6908" w:rsidP="005500D6">
      <w:pPr>
        <w:spacing w:beforeLines="120" w:before="288"/>
        <w:contextualSpacing/>
        <w:rPr>
          <w:color w:val="000000"/>
        </w:rPr>
      </w:pPr>
    </w:p>
    <w:p w:rsidR="002B156D" w:rsidRDefault="002B156D" w:rsidP="005500D6">
      <w:pPr>
        <w:spacing w:beforeLines="120" w:before="288"/>
        <w:contextualSpacing/>
        <w:rPr>
          <w:color w:val="000000"/>
        </w:rPr>
      </w:pPr>
    </w:p>
    <w:p w:rsidR="00BE6908" w:rsidRDefault="00BE6908" w:rsidP="005500D6">
      <w:pPr>
        <w:spacing w:beforeLines="120" w:before="288"/>
        <w:contextualSpacing/>
        <w:rPr>
          <w:color w:val="000000"/>
        </w:rPr>
      </w:pPr>
      <w:r>
        <w:rPr>
          <w:color w:val="000000"/>
        </w:rPr>
        <w:t xml:space="preserve">Information on the Executive of IT Sligo can be found below. </w:t>
      </w:r>
    </w:p>
    <w:p w:rsidR="00473247" w:rsidRDefault="00BE6908" w:rsidP="005500D6">
      <w:pPr>
        <w:spacing w:beforeLines="120" w:before="288"/>
        <w:contextualSpacing/>
        <w:rPr>
          <w:rStyle w:val="Hyperlink"/>
        </w:rPr>
      </w:pPr>
      <w:r>
        <w:rPr>
          <w:color w:val="000000"/>
        </w:rPr>
        <w:t xml:space="preserve">President </w:t>
      </w:r>
      <w:hyperlink r:id="rId39" w:history="1">
        <w:r w:rsidR="00473247" w:rsidRPr="00A40E38">
          <w:rPr>
            <w:rStyle w:val="Hyperlink"/>
          </w:rPr>
          <w:t>https://www.itsligo.ie/about-it-sligo/administration/presidents-office/</w:t>
        </w:r>
      </w:hyperlink>
    </w:p>
    <w:p w:rsidR="00BE6908" w:rsidRDefault="00BE6908" w:rsidP="005500D6">
      <w:pPr>
        <w:spacing w:beforeLines="120" w:before="288"/>
        <w:contextualSpacing/>
        <w:rPr>
          <w:color w:val="000000"/>
        </w:rPr>
      </w:pPr>
    </w:p>
    <w:p w:rsidR="002B156D" w:rsidRDefault="002B156D" w:rsidP="005500D6">
      <w:pPr>
        <w:spacing w:beforeLines="120" w:before="288"/>
        <w:contextualSpacing/>
        <w:rPr>
          <w:color w:val="000000"/>
        </w:rPr>
      </w:pPr>
    </w:p>
    <w:p w:rsidR="00473247" w:rsidRDefault="00BE6908" w:rsidP="005500D6">
      <w:pPr>
        <w:spacing w:beforeLines="120" w:before="288"/>
        <w:contextualSpacing/>
        <w:rPr>
          <w:rStyle w:val="Hyperlink"/>
        </w:rPr>
      </w:pPr>
      <w:r>
        <w:rPr>
          <w:color w:val="000000"/>
        </w:rPr>
        <w:t xml:space="preserve">Registrar </w:t>
      </w:r>
      <w:hyperlink r:id="rId40" w:history="1">
        <w:r w:rsidR="00473247" w:rsidRPr="00A40E38">
          <w:rPr>
            <w:rStyle w:val="Hyperlink"/>
          </w:rPr>
          <w:t>https://www.itsligo.ie/about-it-sligo/administration/registrar/</w:t>
        </w:r>
      </w:hyperlink>
    </w:p>
    <w:p w:rsidR="00BE6908" w:rsidRDefault="00BE6908" w:rsidP="005500D6">
      <w:pPr>
        <w:spacing w:beforeLines="120" w:before="288"/>
        <w:contextualSpacing/>
        <w:rPr>
          <w:color w:val="000000"/>
        </w:rPr>
      </w:pPr>
    </w:p>
    <w:p w:rsidR="002B156D" w:rsidRDefault="002B156D" w:rsidP="005500D6">
      <w:pPr>
        <w:spacing w:beforeLines="120" w:before="288"/>
        <w:contextualSpacing/>
        <w:rPr>
          <w:color w:val="000000"/>
        </w:rPr>
      </w:pPr>
    </w:p>
    <w:p w:rsidR="002B156D" w:rsidRDefault="00BE6908" w:rsidP="005500D6">
      <w:pPr>
        <w:spacing w:beforeLines="120" w:before="288"/>
        <w:contextualSpacing/>
        <w:rPr>
          <w:rStyle w:val="Hyperlink"/>
        </w:rPr>
      </w:pPr>
      <w:r>
        <w:rPr>
          <w:color w:val="000000"/>
        </w:rPr>
        <w:t xml:space="preserve">Secretary/Financial Controller </w:t>
      </w:r>
      <w:hyperlink r:id="rId41" w:history="1">
        <w:r w:rsidR="002B156D" w:rsidRPr="00A40E38">
          <w:rPr>
            <w:rStyle w:val="Hyperlink"/>
          </w:rPr>
          <w:t>https://www.itsligo.ie/about-it-sligo/administration/secretaryfinancial-controller/</w:t>
        </w:r>
      </w:hyperlink>
    </w:p>
    <w:p w:rsidR="00BE6908" w:rsidRDefault="00BE6908" w:rsidP="005500D6">
      <w:pPr>
        <w:spacing w:beforeLines="120" w:before="288"/>
        <w:contextualSpacing/>
        <w:rPr>
          <w:color w:val="000000"/>
        </w:rPr>
      </w:pPr>
    </w:p>
    <w:p w:rsidR="002B156D" w:rsidRDefault="002B156D" w:rsidP="005500D6">
      <w:pPr>
        <w:spacing w:beforeLines="120" w:before="288"/>
        <w:contextualSpacing/>
        <w:rPr>
          <w:color w:val="000000"/>
        </w:rPr>
      </w:pPr>
    </w:p>
    <w:p w:rsidR="00BE6908" w:rsidRDefault="00362DB4" w:rsidP="005500D6">
      <w:pPr>
        <w:spacing w:beforeLines="120" w:before="288"/>
        <w:contextualSpacing/>
        <w:rPr>
          <w:color w:val="000000"/>
        </w:rPr>
      </w:pPr>
      <w:r>
        <w:rPr>
          <w:color w:val="000000"/>
        </w:rPr>
        <w:t>IT Sligo Strategic Plan and Annual Reports</w:t>
      </w:r>
    </w:p>
    <w:p w:rsidR="00362DB4" w:rsidRDefault="00362DB4" w:rsidP="005500D6">
      <w:pPr>
        <w:spacing w:beforeLines="120" w:before="288"/>
        <w:contextualSpacing/>
        <w:rPr>
          <w:color w:val="000000"/>
        </w:rPr>
      </w:pPr>
      <w:r>
        <w:rPr>
          <w:color w:val="000000"/>
        </w:rPr>
        <w:t>These can be found at</w:t>
      </w:r>
      <w:r w:rsidR="002B156D">
        <w:rPr>
          <w:color w:val="000000"/>
        </w:rPr>
        <w:t xml:space="preserve"> </w:t>
      </w:r>
      <w:hyperlink r:id="rId42" w:history="1">
        <w:r w:rsidR="002B156D" w:rsidRPr="00A40E38">
          <w:rPr>
            <w:rStyle w:val="Hyperlink"/>
          </w:rPr>
          <w:t>https://www.itsligo.ie/about-it-sligo/publications/</w:t>
        </w:r>
      </w:hyperlink>
    </w:p>
    <w:p w:rsidR="002B156D" w:rsidRDefault="002B156D" w:rsidP="005500D6">
      <w:pPr>
        <w:spacing w:beforeLines="120" w:before="288"/>
        <w:contextualSpacing/>
        <w:rPr>
          <w:color w:val="000000"/>
        </w:rPr>
      </w:pPr>
    </w:p>
    <w:p w:rsidR="002B156D" w:rsidRDefault="002B156D" w:rsidP="005500D6">
      <w:pPr>
        <w:spacing w:beforeLines="120" w:before="288"/>
        <w:contextualSpacing/>
        <w:rPr>
          <w:color w:val="000000"/>
        </w:rPr>
      </w:pPr>
    </w:p>
    <w:p w:rsidR="00362DB4" w:rsidRDefault="00362DB4" w:rsidP="005500D6">
      <w:pPr>
        <w:spacing w:beforeLines="120" w:before="288"/>
        <w:contextualSpacing/>
        <w:rPr>
          <w:color w:val="000000"/>
        </w:rPr>
      </w:pPr>
    </w:p>
    <w:p w:rsidR="00762F62" w:rsidRPr="00820706" w:rsidRDefault="00BE6908" w:rsidP="00820706">
      <w:pPr>
        <w:spacing w:beforeLines="120" w:before="288"/>
        <w:contextualSpacing/>
        <w:rPr>
          <w:color w:val="000000"/>
        </w:rPr>
      </w:pPr>
      <w:r>
        <w:rPr>
          <w:color w:val="000000"/>
        </w:rPr>
        <w:t xml:space="preserve"> </w:t>
      </w:r>
    </w:p>
    <w:sectPr w:rsidR="00762F62" w:rsidRPr="00820706" w:rsidSect="00657F0A">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D5C" w:rsidRDefault="00530D5C" w:rsidP="009570BA">
      <w:pPr>
        <w:spacing w:after="0" w:line="240" w:lineRule="auto"/>
      </w:pPr>
      <w:r>
        <w:separator/>
      </w:r>
    </w:p>
  </w:endnote>
  <w:endnote w:type="continuationSeparator" w:id="0">
    <w:p w:rsidR="00530D5C" w:rsidRDefault="00530D5C" w:rsidP="009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BA" w:rsidRDefault="009570BA">
    <w:pPr>
      <w:framePr w:wrap="auto" w:vAnchor="text" w:hAnchor="margin" w:xAlign="center" w:y="1"/>
    </w:pPr>
    <w:r>
      <w:fldChar w:fldCharType="begin"/>
    </w:r>
    <w:r>
      <w:instrText xml:space="preserve">PAGE  </w:instrText>
    </w:r>
    <w:r>
      <w:fldChar w:fldCharType="end"/>
    </w:r>
  </w:p>
  <w:p w:rsidR="009570BA" w:rsidRDefault="009570BA">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BA" w:rsidRPr="000759BA" w:rsidRDefault="000759BA" w:rsidP="00473247">
    <w:r>
      <w:t>I</w:t>
    </w:r>
    <w:r w:rsidR="00E54D44">
      <w:t>T Sligo Quality Manual Chapter 1</w:t>
    </w:r>
    <w:r w:rsidR="00503C74">
      <w:t xml:space="preserve"> </w:t>
    </w:r>
    <w:r w:rsidR="00473247">
      <w:t xml:space="preserve"> </w:t>
    </w:r>
    <w:r w:rsidR="00473247">
      <w:tab/>
    </w:r>
    <w:r w:rsidR="00473247">
      <w:tab/>
    </w:r>
    <w:r w:rsidR="00473247">
      <w:tab/>
    </w:r>
    <w:r w:rsidR="00473247">
      <w:tab/>
    </w:r>
    <w:r w:rsidR="00473247">
      <w:tab/>
    </w:r>
    <w:r w:rsidR="00473247">
      <w:tab/>
    </w:r>
    <w:r w:rsidR="00473247">
      <w:tab/>
    </w:r>
    <w:r>
      <w:fldChar w:fldCharType="begin"/>
    </w:r>
    <w:r>
      <w:instrText xml:space="preserve"> PAGE   \* MERGEFORMAT </w:instrText>
    </w:r>
    <w:r>
      <w:fldChar w:fldCharType="separate"/>
    </w:r>
    <w:r w:rsidR="00852526">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BA" w:rsidRDefault="00B4163C" w:rsidP="00B4163C">
    <w:r>
      <w:t>IT Sligo Quality Manual Chapter 2 Draft Aug 2015</w:t>
    </w:r>
  </w:p>
  <w:p w:rsidR="009570BA" w:rsidRDefault="00B4163C" w:rsidP="00B4163C">
    <w:r>
      <w:fldChar w:fldCharType="begin"/>
    </w:r>
    <w:r>
      <w:instrText xml:space="preserve"> PAGE   \* MERGEFORMAT </w:instrText>
    </w:r>
    <w:r>
      <w:fldChar w:fldCharType="separate"/>
    </w:r>
    <w:r w:rsidR="000759B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D5C" w:rsidRDefault="00530D5C" w:rsidP="009570BA">
      <w:pPr>
        <w:spacing w:after="0" w:line="240" w:lineRule="auto"/>
      </w:pPr>
      <w:r>
        <w:separator/>
      </w:r>
    </w:p>
  </w:footnote>
  <w:footnote w:type="continuationSeparator" w:id="0">
    <w:p w:rsidR="00530D5C" w:rsidRDefault="00530D5C" w:rsidP="00957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BA" w:rsidRDefault="009570BA">
    <w:pPr>
      <w:framePr w:wrap="auto" w:vAnchor="text" w:hAnchor="margin" w:xAlign="center" w:y="1"/>
    </w:pPr>
    <w:r>
      <w:fldChar w:fldCharType="begin"/>
    </w:r>
    <w:r>
      <w:instrText xml:space="preserve">PAGE  </w:instrText>
    </w:r>
    <w:r>
      <w:fldChar w:fldCharType="end"/>
    </w:r>
  </w:p>
  <w:p w:rsidR="009570BA" w:rsidRDefault="009570B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BA" w:rsidRPr="003008E7" w:rsidRDefault="009570BA" w:rsidP="00CA3E78">
    <w:pPr>
      <w:jc w:val="right"/>
      <w:rPr>
        <w:i/>
        <w:iCs/>
        <w:color w:val="80808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BA" w:rsidRPr="00E07FE2" w:rsidRDefault="009570BA" w:rsidP="00CA3E78">
    <w:pPr>
      <w:tabs>
        <w:tab w:val="right" w:pos="8306"/>
      </w:tabs>
      <w:rPr>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D1F"/>
    <w:multiLevelType w:val="hybridMultilevel"/>
    <w:tmpl w:val="9E4AFEDE"/>
    <w:lvl w:ilvl="0" w:tplc="78EED436">
      <w:start w:val="1"/>
      <w:numFmt w:val="decimal"/>
      <w:lvlText w:val="1.5.%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A53C46"/>
    <w:multiLevelType w:val="hybridMultilevel"/>
    <w:tmpl w:val="A520634C"/>
    <w:lvl w:ilvl="0" w:tplc="EB64DACC">
      <w:start w:val="1"/>
      <w:numFmt w:val="decimal"/>
      <w:lvlText w:val="1.%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897E08"/>
    <w:multiLevelType w:val="hybridMultilevel"/>
    <w:tmpl w:val="CCDA6A80"/>
    <w:lvl w:ilvl="0" w:tplc="1F149580">
      <w:start w:val="1"/>
      <w:numFmt w:val="decimal"/>
      <w:lvlText w:val="%1.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927FFE"/>
    <w:multiLevelType w:val="hybridMultilevel"/>
    <w:tmpl w:val="2640AE2E"/>
    <w:lvl w:ilvl="0" w:tplc="4014BE10">
      <w:start w:val="1"/>
      <w:numFmt w:val="decimal"/>
      <w:lvlText w:val="1.5.%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567FE3"/>
    <w:multiLevelType w:val="hybridMultilevel"/>
    <w:tmpl w:val="59A22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1116A4"/>
    <w:multiLevelType w:val="multilevel"/>
    <w:tmpl w:val="A4A4D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59B7D66"/>
    <w:multiLevelType w:val="hybridMultilevel"/>
    <w:tmpl w:val="2A6010A2"/>
    <w:lvl w:ilvl="0" w:tplc="1F149580">
      <w:start w:val="1"/>
      <w:numFmt w:val="decimal"/>
      <w:lvlText w:val="%1.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69405C5"/>
    <w:multiLevelType w:val="hybridMultilevel"/>
    <w:tmpl w:val="0BEA4E78"/>
    <w:lvl w:ilvl="0" w:tplc="2966958E">
      <w:start w:val="1"/>
      <w:numFmt w:val="decimal"/>
      <w:lvlText w:val="1.5.4.%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6DD0B79"/>
    <w:multiLevelType w:val="multilevel"/>
    <w:tmpl w:val="9B4ACB44"/>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7177FC4"/>
    <w:multiLevelType w:val="hybridMultilevel"/>
    <w:tmpl w:val="4DC280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2"/>
  </w:num>
  <w:num w:numId="19">
    <w:abstractNumId w:val="6"/>
  </w:num>
  <w:num w:numId="20">
    <w:abstractNumId w:val="1"/>
  </w:num>
  <w:num w:numId="21">
    <w:abstractNumId w:val="0"/>
  </w:num>
  <w:num w:numId="22">
    <w:abstractNumId w:val="7"/>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BA"/>
    <w:rsid w:val="00046B9E"/>
    <w:rsid w:val="00052CDF"/>
    <w:rsid w:val="000646D2"/>
    <w:rsid w:val="000759BA"/>
    <w:rsid w:val="001154C7"/>
    <w:rsid w:val="001322C5"/>
    <w:rsid w:val="001579DE"/>
    <w:rsid w:val="00232C04"/>
    <w:rsid w:val="00262A39"/>
    <w:rsid w:val="00284C28"/>
    <w:rsid w:val="002B156D"/>
    <w:rsid w:val="00310849"/>
    <w:rsid w:val="003325C7"/>
    <w:rsid w:val="00343055"/>
    <w:rsid w:val="00362DB4"/>
    <w:rsid w:val="003A7C2C"/>
    <w:rsid w:val="003D558C"/>
    <w:rsid w:val="003F2815"/>
    <w:rsid w:val="004147FC"/>
    <w:rsid w:val="0041737D"/>
    <w:rsid w:val="00436B93"/>
    <w:rsid w:val="00454685"/>
    <w:rsid w:val="00473247"/>
    <w:rsid w:val="004826BE"/>
    <w:rsid w:val="00487C98"/>
    <w:rsid w:val="00502C97"/>
    <w:rsid w:val="00503C74"/>
    <w:rsid w:val="0050705C"/>
    <w:rsid w:val="0051130D"/>
    <w:rsid w:val="00530D5C"/>
    <w:rsid w:val="00537418"/>
    <w:rsid w:val="00542AC7"/>
    <w:rsid w:val="005500D6"/>
    <w:rsid w:val="0056628A"/>
    <w:rsid w:val="005A3741"/>
    <w:rsid w:val="005A4974"/>
    <w:rsid w:val="005C2321"/>
    <w:rsid w:val="005C5145"/>
    <w:rsid w:val="005D30A9"/>
    <w:rsid w:val="005D770F"/>
    <w:rsid w:val="005F0CF7"/>
    <w:rsid w:val="006134E4"/>
    <w:rsid w:val="00647B31"/>
    <w:rsid w:val="00657F0A"/>
    <w:rsid w:val="006839C7"/>
    <w:rsid w:val="006D643A"/>
    <w:rsid w:val="006E1E86"/>
    <w:rsid w:val="006F50AC"/>
    <w:rsid w:val="007056F1"/>
    <w:rsid w:val="0074238E"/>
    <w:rsid w:val="0075697C"/>
    <w:rsid w:val="00762F62"/>
    <w:rsid w:val="007656DE"/>
    <w:rsid w:val="00777C81"/>
    <w:rsid w:val="00781BC1"/>
    <w:rsid w:val="007A11D3"/>
    <w:rsid w:val="007C0A76"/>
    <w:rsid w:val="007D2F7B"/>
    <w:rsid w:val="007E3E8D"/>
    <w:rsid w:val="00802DED"/>
    <w:rsid w:val="00804382"/>
    <w:rsid w:val="00820706"/>
    <w:rsid w:val="00837184"/>
    <w:rsid w:val="0084553C"/>
    <w:rsid w:val="00852526"/>
    <w:rsid w:val="00862C39"/>
    <w:rsid w:val="00867684"/>
    <w:rsid w:val="008A309A"/>
    <w:rsid w:val="008C1C9F"/>
    <w:rsid w:val="008D45D7"/>
    <w:rsid w:val="0090340F"/>
    <w:rsid w:val="00924505"/>
    <w:rsid w:val="009570BA"/>
    <w:rsid w:val="009803A5"/>
    <w:rsid w:val="009A0B9C"/>
    <w:rsid w:val="009B595B"/>
    <w:rsid w:val="009D3BB3"/>
    <w:rsid w:val="009E54BA"/>
    <w:rsid w:val="00A56C5D"/>
    <w:rsid w:val="00A83971"/>
    <w:rsid w:val="00AA0907"/>
    <w:rsid w:val="00B4163C"/>
    <w:rsid w:val="00B551F2"/>
    <w:rsid w:val="00B55AC5"/>
    <w:rsid w:val="00B94CDA"/>
    <w:rsid w:val="00B97A3D"/>
    <w:rsid w:val="00BA17E5"/>
    <w:rsid w:val="00BA5BCB"/>
    <w:rsid w:val="00BE6908"/>
    <w:rsid w:val="00C214A3"/>
    <w:rsid w:val="00C41F6F"/>
    <w:rsid w:val="00C445A3"/>
    <w:rsid w:val="00C45209"/>
    <w:rsid w:val="00C51927"/>
    <w:rsid w:val="00C74E6C"/>
    <w:rsid w:val="00CA72B2"/>
    <w:rsid w:val="00CB3E3A"/>
    <w:rsid w:val="00CB7769"/>
    <w:rsid w:val="00CC6292"/>
    <w:rsid w:val="00CC6C4D"/>
    <w:rsid w:val="00CD56E3"/>
    <w:rsid w:val="00CD5F60"/>
    <w:rsid w:val="00D2449B"/>
    <w:rsid w:val="00D65FB7"/>
    <w:rsid w:val="00D715AA"/>
    <w:rsid w:val="00D7212B"/>
    <w:rsid w:val="00D80001"/>
    <w:rsid w:val="00D872BF"/>
    <w:rsid w:val="00DE6D6A"/>
    <w:rsid w:val="00E0380D"/>
    <w:rsid w:val="00E04F80"/>
    <w:rsid w:val="00E260C9"/>
    <w:rsid w:val="00E54D44"/>
    <w:rsid w:val="00E559FE"/>
    <w:rsid w:val="00E623BF"/>
    <w:rsid w:val="00E62DD0"/>
    <w:rsid w:val="00E66A69"/>
    <w:rsid w:val="00ED03C1"/>
    <w:rsid w:val="00EE6028"/>
    <w:rsid w:val="00F04160"/>
    <w:rsid w:val="00F16004"/>
    <w:rsid w:val="00F1641D"/>
    <w:rsid w:val="00F27711"/>
    <w:rsid w:val="00FF01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C8F29"/>
  <w15:docId w15:val="{BED79288-C874-475C-8646-6C3B3E3A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908"/>
    <w:rPr>
      <w:rFonts w:eastAsiaTheme="minorEastAsia"/>
      <w:lang w:eastAsia="en-IE"/>
    </w:rPr>
  </w:style>
  <w:style w:type="paragraph" w:styleId="Heading1">
    <w:name w:val="heading 1"/>
    <w:basedOn w:val="Normal"/>
    <w:next w:val="Normal"/>
    <w:link w:val="Heading1Char"/>
    <w:uiPriority w:val="9"/>
    <w:qFormat/>
    <w:rsid w:val="007C0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A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0A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6B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A76"/>
    <w:rPr>
      <w:rFonts w:asciiTheme="majorHAnsi" w:eastAsiaTheme="majorEastAsia" w:hAnsiTheme="majorHAnsi" w:cstheme="majorBidi"/>
      <w:b/>
      <w:bCs/>
      <w:color w:val="4F81BD" w:themeColor="accent1"/>
      <w:sz w:val="26"/>
      <w:szCs w:val="26"/>
      <w:lang w:eastAsia="en-IE"/>
    </w:rPr>
  </w:style>
  <w:style w:type="character" w:customStyle="1" w:styleId="Heading1Char">
    <w:name w:val="Heading 1 Char"/>
    <w:basedOn w:val="DefaultParagraphFont"/>
    <w:link w:val="Heading1"/>
    <w:uiPriority w:val="9"/>
    <w:rsid w:val="007C0A76"/>
    <w:rPr>
      <w:rFonts w:asciiTheme="majorHAnsi" w:eastAsiaTheme="majorEastAsia" w:hAnsiTheme="majorHAnsi" w:cstheme="majorBidi"/>
      <w:b/>
      <w:bCs/>
      <w:color w:val="365F91" w:themeColor="accent1" w:themeShade="BF"/>
      <w:sz w:val="28"/>
      <w:szCs w:val="28"/>
      <w:lang w:eastAsia="en-IE"/>
    </w:rPr>
  </w:style>
  <w:style w:type="character" w:customStyle="1" w:styleId="Heading3Char">
    <w:name w:val="Heading 3 Char"/>
    <w:basedOn w:val="DefaultParagraphFont"/>
    <w:link w:val="Heading3"/>
    <w:uiPriority w:val="9"/>
    <w:rsid w:val="007C0A76"/>
    <w:rPr>
      <w:rFonts w:asciiTheme="majorHAnsi" w:eastAsiaTheme="majorEastAsia" w:hAnsiTheme="majorHAnsi" w:cstheme="majorBidi"/>
      <w:b/>
      <w:bCs/>
      <w:color w:val="4F81BD" w:themeColor="accent1"/>
      <w:lang w:eastAsia="en-IE"/>
    </w:rPr>
  </w:style>
  <w:style w:type="character" w:styleId="Hyperlink">
    <w:name w:val="Hyperlink"/>
    <w:basedOn w:val="DefaultParagraphFont"/>
    <w:uiPriority w:val="99"/>
    <w:unhideWhenUsed/>
    <w:rsid w:val="0056628A"/>
    <w:rPr>
      <w:color w:val="0000FF" w:themeColor="hyperlink"/>
      <w:u w:val="single"/>
    </w:rPr>
  </w:style>
  <w:style w:type="character" w:styleId="FollowedHyperlink">
    <w:name w:val="FollowedHyperlink"/>
    <w:basedOn w:val="DefaultParagraphFont"/>
    <w:uiPriority w:val="99"/>
    <w:semiHidden/>
    <w:unhideWhenUsed/>
    <w:rsid w:val="0056628A"/>
    <w:rPr>
      <w:color w:val="800080" w:themeColor="followedHyperlink"/>
      <w:u w:val="single"/>
    </w:rPr>
  </w:style>
  <w:style w:type="paragraph" w:styleId="BalloonText">
    <w:name w:val="Balloon Text"/>
    <w:basedOn w:val="Normal"/>
    <w:link w:val="BalloonTextChar"/>
    <w:uiPriority w:val="99"/>
    <w:semiHidden/>
    <w:unhideWhenUsed/>
    <w:rsid w:val="00052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DF"/>
    <w:rPr>
      <w:rFonts w:ascii="Tahoma" w:eastAsiaTheme="minorEastAsia" w:hAnsi="Tahoma" w:cs="Tahoma"/>
      <w:sz w:val="16"/>
      <w:szCs w:val="16"/>
      <w:lang w:eastAsia="en-IE"/>
    </w:rPr>
  </w:style>
  <w:style w:type="paragraph" w:styleId="Header">
    <w:name w:val="header"/>
    <w:basedOn w:val="Normal"/>
    <w:link w:val="HeaderChar"/>
    <w:uiPriority w:val="99"/>
    <w:unhideWhenUsed/>
    <w:rsid w:val="00B4163C"/>
    <w:pPr>
      <w:tabs>
        <w:tab w:val="center" w:pos="4680"/>
        <w:tab w:val="right" w:pos="9360"/>
      </w:tabs>
      <w:spacing w:after="0" w:line="240" w:lineRule="auto"/>
    </w:pPr>
    <w:rPr>
      <w:lang w:val="en-US" w:eastAsia="ja-JP"/>
    </w:rPr>
  </w:style>
  <w:style w:type="character" w:customStyle="1" w:styleId="HeaderChar">
    <w:name w:val="Header Char"/>
    <w:basedOn w:val="DefaultParagraphFont"/>
    <w:link w:val="Header"/>
    <w:uiPriority w:val="99"/>
    <w:rsid w:val="00B4163C"/>
    <w:rPr>
      <w:rFonts w:eastAsiaTheme="minorEastAsia"/>
      <w:lang w:val="en-US" w:eastAsia="ja-JP"/>
    </w:rPr>
  </w:style>
  <w:style w:type="paragraph" w:styleId="Footer">
    <w:name w:val="footer"/>
    <w:basedOn w:val="Normal"/>
    <w:link w:val="FooterChar"/>
    <w:uiPriority w:val="99"/>
    <w:unhideWhenUsed/>
    <w:rsid w:val="00B4163C"/>
    <w:pPr>
      <w:tabs>
        <w:tab w:val="center" w:pos="4680"/>
        <w:tab w:val="right" w:pos="9360"/>
      </w:tabs>
      <w:spacing w:after="0" w:line="240" w:lineRule="auto"/>
    </w:pPr>
    <w:rPr>
      <w:rFonts w:eastAsiaTheme="minorHAnsi"/>
      <w:sz w:val="21"/>
      <w:lang w:val="en-US" w:eastAsia="ja-JP"/>
    </w:rPr>
  </w:style>
  <w:style w:type="character" w:customStyle="1" w:styleId="FooterChar">
    <w:name w:val="Footer Char"/>
    <w:basedOn w:val="DefaultParagraphFont"/>
    <w:link w:val="Footer"/>
    <w:uiPriority w:val="99"/>
    <w:rsid w:val="00B4163C"/>
    <w:rPr>
      <w:sz w:val="21"/>
      <w:lang w:val="en-US" w:eastAsia="ja-JP"/>
    </w:rPr>
  </w:style>
  <w:style w:type="paragraph" w:styleId="ListParagraph">
    <w:name w:val="List Paragraph"/>
    <w:basedOn w:val="Normal"/>
    <w:uiPriority w:val="34"/>
    <w:qFormat/>
    <w:rsid w:val="000759BA"/>
    <w:pPr>
      <w:ind w:left="720"/>
      <w:contextualSpacing/>
    </w:pPr>
  </w:style>
  <w:style w:type="character" w:styleId="IntenseReference">
    <w:name w:val="Intense Reference"/>
    <w:basedOn w:val="DefaultParagraphFont"/>
    <w:uiPriority w:val="32"/>
    <w:qFormat/>
    <w:rsid w:val="000759BA"/>
    <w:rPr>
      <w:b/>
      <w:bCs/>
      <w:smallCaps/>
      <w:color w:val="C0504D" w:themeColor="accent2"/>
      <w:spacing w:val="5"/>
      <w:u w:val="single"/>
    </w:rPr>
  </w:style>
  <w:style w:type="table" w:styleId="TableGrid">
    <w:name w:val="Table Grid"/>
    <w:basedOn w:val="TableNormal"/>
    <w:uiPriority w:val="59"/>
    <w:rsid w:val="006D6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E3E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3E8D"/>
    <w:rPr>
      <w:rFonts w:asciiTheme="majorHAnsi" w:eastAsiaTheme="majorEastAsia" w:hAnsiTheme="majorHAnsi" w:cstheme="majorBidi"/>
      <w:color w:val="17365D" w:themeColor="text2" w:themeShade="BF"/>
      <w:spacing w:val="5"/>
      <w:kern w:val="28"/>
      <w:sz w:val="52"/>
      <w:szCs w:val="52"/>
      <w:lang w:eastAsia="en-IE"/>
    </w:rPr>
  </w:style>
  <w:style w:type="character" w:customStyle="1" w:styleId="Heading4Char">
    <w:name w:val="Heading 4 Char"/>
    <w:basedOn w:val="DefaultParagraphFont"/>
    <w:link w:val="Heading4"/>
    <w:uiPriority w:val="9"/>
    <w:rsid w:val="00436B93"/>
    <w:rPr>
      <w:rFonts w:asciiTheme="majorHAnsi" w:eastAsiaTheme="majorEastAsia" w:hAnsiTheme="majorHAnsi" w:cstheme="majorBidi"/>
      <w:b/>
      <w:bCs/>
      <w:i/>
      <w:iCs/>
      <w:color w:val="4F81BD" w:themeColor="accent1"/>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gistrar.itsligo.ie/home/academic-council-committees/" TargetMode="External"/><Relationship Id="rId18" Type="http://schemas.openxmlformats.org/officeDocument/2006/relationships/hyperlink" Target="http://registrar.itsligo.ie/" TargetMode="External"/><Relationship Id="rId26" Type="http://schemas.openxmlformats.org/officeDocument/2006/relationships/hyperlink" Target="https://www.itsligo.ie/files/2016/11/RTC-Act-Consolidated-law-reform-up-to-24-april-18.pdf" TargetMode="External"/><Relationship Id="rId39" Type="http://schemas.openxmlformats.org/officeDocument/2006/relationships/hyperlink" Target="https://www.itsligo.ie/about-it-sligo/administration/presidents-office/" TargetMode="External"/><Relationship Id="rId3" Type="http://schemas.openxmlformats.org/officeDocument/2006/relationships/customXml" Target="../customXml/item3.xml"/><Relationship Id="rId21" Type="http://schemas.openxmlformats.org/officeDocument/2006/relationships/hyperlink" Target="http://www.irishstatutebook.ie/eli/1992/act/16/enacted/en/html" TargetMode="External"/><Relationship Id="rId34" Type="http://schemas.openxmlformats.org/officeDocument/2006/relationships/hyperlink" Target="https://www.itsligo.ie/files/2016/11/ESG-2015-as-endorsed-by-ministers.pdf" TargetMode="External"/><Relationship Id="rId42" Type="http://schemas.openxmlformats.org/officeDocument/2006/relationships/hyperlink" Target="https://www.itsligo.ie/about-it-sligo/publications/"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qqi.ie/Publications/Descriptors%20-%20minor,%20special%20purpose,%20supplemental.pdf" TargetMode="External"/><Relationship Id="rId17" Type="http://schemas.openxmlformats.org/officeDocument/2006/relationships/hyperlink" Target="file:///F:/QA(VMD)/1.%20Policy%20and%20Procedures%20for%20QA/2.Quality%20assurance%20Manual/QAControl%20Page.docx" TargetMode="External"/><Relationship Id="rId25" Type="http://schemas.openxmlformats.org/officeDocument/2006/relationships/hyperlink" Target="http://www.irishstatutebook.ie/eli/2006/act/25/enacted/en/html" TargetMode="External"/><Relationship Id="rId33" Type="http://schemas.openxmlformats.org/officeDocument/2006/relationships/hyperlink" Target="https://www.itsligo.ie/files/2016/11/ESG-2015-as-endorsed-by-ministers.pdf" TargetMode="External"/><Relationship Id="rId38" Type="http://schemas.openxmlformats.org/officeDocument/2006/relationships/hyperlink" Target="https://www.itsligo.ie/about-it-sligo/administration/presidents-office/organisational-chart/"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gcas.org.uk" TargetMode="External"/><Relationship Id="rId20" Type="http://schemas.openxmlformats.org/officeDocument/2006/relationships/hyperlink" Target="file:///F:/QA(VMD)/1.%20Policy%20and%20Procedures%20for%20QA/2.Quality%20assurance%20Manual/QAControl%20Page.docx" TargetMode="External"/><Relationship Id="rId29" Type="http://schemas.openxmlformats.org/officeDocument/2006/relationships/hyperlink" Target="http://www.qqi.ie" TargetMode="External"/><Relationship Id="rId41" Type="http://schemas.openxmlformats.org/officeDocument/2006/relationships/hyperlink" Target="https://www.itsligo.ie/about-it-sligo/administration/secretaryfinancial-controll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tsligo.ie/about-it-sligo/administration/presidents-office/" TargetMode="External"/><Relationship Id="rId24" Type="http://schemas.openxmlformats.org/officeDocument/2006/relationships/hyperlink" Target="http://www.irishstatutebook.ie/eli/2012/act/28/enacted/en/html" TargetMode="External"/><Relationship Id="rId32" Type="http://schemas.openxmlformats.org/officeDocument/2006/relationships/hyperlink" Target="https://www.qqi.ie/Downloads/Policy%20and%20Criteria%20for%20Making%20Awards.pdf" TargetMode="External"/><Relationship Id="rId37" Type="http://schemas.openxmlformats.org/officeDocument/2006/relationships/hyperlink" Target="https://www.itsligo.ie/files/2017/09/Terms-of-Reference-Academic-Council-Committees-v2.pdf" TargetMode="External"/><Relationship Id="rId40" Type="http://schemas.openxmlformats.org/officeDocument/2006/relationships/hyperlink" Target="https://www.itsligo.ie/about-it-sligo/administration/registrar/"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tsligo.ie/files/2016/11/Document-Manual-EC-approved-1-Mar-16.pdf" TargetMode="External"/><Relationship Id="rId23" Type="http://schemas.openxmlformats.org/officeDocument/2006/relationships/hyperlink" Target="http://www.irishstatutebook.ie/eli/1999/act/20/section/11/enacted/en/html" TargetMode="External"/><Relationship Id="rId28" Type="http://schemas.openxmlformats.org/officeDocument/2006/relationships/hyperlink" Target="file:///F:/QA(VMD)/1.%20Policy%20and%20Procedures%20for%20QA/2.Quality%20assurance%20Manual/QAControl%20Page.docx" TargetMode="External"/><Relationship Id="rId36" Type="http://schemas.openxmlformats.org/officeDocument/2006/relationships/hyperlink" Target="https://www.itsligo.ie/about-it-sligo/administration/registrar/academic-council-committe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tsligo.ie" TargetMode="External"/><Relationship Id="rId31" Type="http://schemas.openxmlformats.org/officeDocument/2006/relationships/hyperlink" Target="http://www.irishstatutebook.ie/eli/2006/act/25/enacted/en/html"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sligo.ie/about-it-sligo/administration/presidents-office/organisational-chart/" TargetMode="External"/><Relationship Id="rId22" Type="http://schemas.openxmlformats.org/officeDocument/2006/relationships/hyperlink" Target="http://www.irishstatutebook.ie/eli/1994/act/29/enacted/en/index.html" TargetMode="External"/><Relationship Id="rId27" Type="http://schemas.openxmlformats.org/officeDocument/2006/relationships/hyperlink" Target="https://www.itsligo.ie/about-it-sligo/administration/governing-body-members/" TargetMode="External"/><Relationship Id="rId30" Type="http://schemas.openxmlformats.org/officeDocument/2006/relationships/hyperlink" Target="http://www.nfq.ie/nfq/en/employer_recruiter.html" TargetMode="External"/><Relationship Id="rId35" Type="http://schemas.openxmlformats.org/officeDocument/2006/relationships/hyperlink" Target="https://www.itsligo.ie/files/2016/11/EAP7.docx"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7CBE5F917D574E8BF38BFCEEEFFFF6" ma:contentTypeVersion="0" ma:contentTypeDescription="Create a new document." ma:contentTypeScope="" ma:versionID="cef6ff32ebf0ac73887a224bd34512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814EB-1CC9-480A-AA0F-0FD0F07149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8DC37B-63B7-48C7-B294-B64638D4C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AAFDC7-9BCE-4D22-BF15-28B3F31EA102}">
  <ds:schemaRefs>
    <ds:schemaRef ds:uri="http://schemas.microsoft.com/sharepoint/v3/contenttype/forms"/>
  </ds:schemaRefs>
</ds:datastoreItem>
</file>

<file path=customXml/itemProps4.xml><?xml version="1.0" encoding="utf-8"?>
<ds:datastoreItem xmlns:ds="http://schemas.openxmlformats.org/officeDocument/2006/customXml" ds:itemID="{32815B6E-A5E5-4F0C-BCC9-36571921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3950</Words>
  <Characters>22517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26415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McLean</dc:creator>
  <cp:lastModifiedBy>Colin McLean</cp:lastModifiedBy>
  <cp:revision>5</cp:revision>
  <cp:lastPrinted>2016-01-19T11:29:00Z</cp:lastPrinted>
  <dcterms:created xsi:type="dcterms:W3CDTF">2018-09-06T18:21:00Z</dcterms:created>
  <dcterms:modified xsi:type="dcterms:W3CDTF">2018-09-06T19:02:00Z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0x010100357CBE5F917D574E8BF38BFCEEEFFFF6</vt:lpwstr>
  </property>
</Properties>
</file>